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34" w:rsidRPr="00F40889" w:rsidRDefault="00F40889" w:rsidP="003D3F34">
      <w:pPr>
        <w:pStyle w:val="Default"/>
        <w:rPr>
          <w:b/>
          <w:i/>
          <w:sz w:val="40"/>
          <w:szCs w:val="40"/>
        </w:rPr>
      </w:pPr>
      <w:r w:rsidRPr="00F40889">
        <w:rPr>
          <w:b/>
          <w:i/>
          <w:sz w:val="40"/>
          <w:szCs w:val="40"/>
        </w:rPr>
        <w:t>Neslužbeni pri</w:t>
      </w:r>
      <w:r w:rsidR="007C1693" w:rsidRPr="00F40889">
        <w:rPr>
          <w:b/>
          <w:i/>
          <w:sz w:val="40"/>
          <w:szCs w:val="40"/>
        </w:rPr>
        <w:t>jevod</w:t>
      </w:r>
    </w:p>
    <w:p w:rsidR="007C1693" w:rsidRDefault="007C1693" w:rsidP="003D3F34">
      <w:pPr>
        <w:pStyle w:val="Default"/>
        <w:rPr>
          <w:b/>
          <w:i/>
        </w:rPr>
      </w:pPr>
      <w:bookmarkStart w:id="0" w:name="_GoBack"/>
      <w:bookmarkEnd w:id="0"/>
    </w:p>
    <w:p w:rsidR="007C1693" w:rsidRPr="007C1693" w:rsidRDefault="007C1693" w:rsidP="003D3F34">
      <w:pPr>
        <w:pStyle w:val="Default"/>
        <w:rPr>
          <w:b/>
          <w:i/>
        </w:rPr>
      </w:pPr>
    </w:p>
    <w:p w:rsidR="009010FF" w:rsidRPr="006B45EA" w:rsidRDefault="00410A15" w:rsidP="00116BBB">
      <w:pPr>
        <w:jc w:val="center"/>
        <w:rPr>
          <w:rFonts w:ascii="Calibri" w:hAnsi="Calibri" w:cs="Calibri"/>
          <w:b/>
          <w:color w:val="000000"/>
          <w:sz w:val="56"/>
          <w:szCs w:val="56"/>
        </w:rPr>
      </w:pPr>
      <w:r>
        <w:rPr>
          <w:rFonts w:ascii="Calibri" w:hAnsi="Calibri" w:cs="Calibri"/>
          <w:b/>
          <w:color w:val="000000"/>
          <w:sz w:val="56"/>
          <w:szCs w:val="56"/>
        </w:rPr>
        <w:t>Komunikacijski plan</w:t>
      </w:r>
    </w:p>
    <w:p w:rsidR="00401A17" w:rsidRPr="006B45EA" w:rsidRDefault="009010FF" w:rsidP="00116BBB">
      <w:pPr>
        <w:jc w:val="center"/>
        <w:rPr>
          <w:rFonts w:cs="Times New Roman"/>
          <w:b/>
          <w:sz w:val="22"/>
        </w:rPr>
      </w:pPr>
      <w:r w:rsidRPr="006B45EA">
        <w:rPr>
          <w:rFonts w:ascii="Calibri" w:hAnsi="Calibri" w:cs="Calibri"/>
          <w:b/>
          <w:color w:val="000000"/>
          <w:sz w:val="56"/>
          <w:szCs w:val="56"/>
        </w:rPr>
        <w:t>projekta Održivi gradovi</w:t>
      </w:r>
    </w:p>
    <w:p w:rsidR="00973DBB" w:rsidRDefault="00973DBB" w:rsidP="003D3F34"/>
    <w:p w:rsidR="00973DBB" w:rsidRDefault="003D3F34" w:rsidP="007C1693">
      <w:pPr>
        <w:jc w:val="center"/>
      </w:pPr>
      <w:r w:rsidRPr="003D3F34">
        <w:rPr>
          <w:noProof/>
          <w:lang w:val="en-US"/>
        </w:rPr>
        <w:drawing>
          <wp:inline distT="0" distB="0" distL="0" distR="0">
            <wp:extent cx="4874843" cy="46921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16" cy="47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BB" w:rsidRPr="00973DBB">
        <w:rPr>
          <w:noProof/>
          <w:lang w:val="en-US"/>
        </w:rPr>
        <w:drawing>
          <wp:inline distT="0" distB="0" distL="0" distR="0">
            <wp:extent cx="3997620" cy="1689756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08" cy="16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E4" w:rsidRDefault="004E6BE4" w:rsidP="003D3F34"/>
    <w:p w:rsidR="004E6BE4" w:rsidRDefault="004E6BE4" w:rsidP="003D3F34"/>
    <w:p w:rsidR="004E6BE4" w:rsidRDefault="004E6BE4" w:rsidP="003D3F34"/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>Sadržaj</w:t>
      </w:r>
    </w:p>
    <w:p w:rsidR="009C53BD" w:rsidRDefault="009C53BD" w:rsidP="007B44EB">
      <w:pPr>
        <w:rPr>
          <w:rFonts w:cs="Times New Roman"/>
          <w:b/>
          <w:bCs/>
          <w:color w:val="000000"/>
          <w:szCs w:val="24"/>
        </w:rPr>
      </w:pPr>
    </w:p>
    <w:p w:rsidR="00E11302" w:rsidRPr="007B44EB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7B44EB">
        <w:rPr>
          <w:rFonts w:cs="Times New Roman"/>
          <w:b/>
          <w:bCs/>
          <w:color w:val="000000"/>
          <w:szCs w:val="24"/>
        </w:rPr>
        <w:t>1. Uvod .......................................................................................</w:t>
      </w:r>
      <w:r w:rsidR="00416258" w:rsidRPr="007B44EB">
        <w:rPr>
          <w:rFonts w:cs="Times New Roman"/>
          <w:b/>
          <w:bCs/>
          <w:color w:val="000000"/>
          <w:szCs w:val="24"/>
        </w:rPr>
        <w:t>............</w:t>
      </w:r>
      <w:r w:rsidRPr="007B44EB">
        <w:rPr>
          <w:rFonts w:cs="Times New Roman"/>
          <w:b/>
          <w:bCs/>
          <w:color w:val="000000"/>
          <w:szCs w:val="24"/>
        </w:rPr>
        <w:t>...............................</w:t>
      </w:r>
      <w:r w:rsidR="0048797D" w:rsidRPr="007B44EB">
        <w:rPr>
          <w:rFonts w:cs="Times New Roman"/>
          <w:b/>
          <w:bCs/>
          <w:color w:val="000000"/>
          <w:szCs w:val="24"/>
        </w:rPr>
        <w:t>..</w:t>
      </w:r>
      <w:r w:rsidRPr="007B44EB">
        <w:rPr>
          <w:rFonts w:cs="Times New Roman"/>
          <w:b/>
          <w:bCs/>
          <w:color w:val="000000"/>
          <w:szCs w:val="24"/>
        </w:rPr>
        <w:t>.. 3</w:t>
      </w:r>
    </w:p>
    <w:p w:rsidR="00E11302" w:rsidRPr="007B44EB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7B44EB">
        <w:rPr>
          <w:rFonts w:cs="Times New Roman"/>
          <w:b/>
          <w:bCs/>
          <w:color w:val="000000"/>
          <w:szCs w:val="24"/>
        </w:rPr>
        <w:t>2. Ciljevi projekta ...............................................................................</w:t>
      </w:r>
      <w:r w:rsidR="00416258" w:rsidRPr="007B44EB">
        <w:rPr>
          <w:rFonts w:cs="Times New Roman"/>
          <w:b/>
          <w:bCs/>
          <w:color w:val="000000"/>
          <w:szCs w:val="24"/>
        </w:rPr>
        <w:t>.........</w:t>
      </w:r>
      <w:r w:rsidRPr="007B44EB">
        <w:rPr>
          <w:rFonts w:cs="Times New Roman"/>
          <w:b/>
          <w:bCs/>
          <w:color w:val="000000"/>
          <w:szCs w:val="24"/>
        </w:rPr>
        <w:t>............................ 3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2.1. Komunikacijski ciljevi ...........................................................</w:t>
      </w:r>
      <w:r w:rsidR="00416258" w:rsidRPr="007B44EB">
        <w:rPr>
          <w:rFonts w:cs="Times New Roman"/>
          <w:bCs/>
          <w:color w:val="000000"/>
          <w:szCs w:val="24"/>
        </w:rPr>
        <w:t>.......</w:t>
      </w:r>
      <w:r w:rsidRPr="007B44EB">
        <w:rPr>
          <w:rFonts w:cs="Times New Roman"/>
          <w:bCs/>
          <w:color w:val="000000"/>
          <w:szCs w:val="24"/>
        </w:rPr>
        <w:t>................</w:t>
      </w:r>
      <w:r w:rsidR="007B44EB">
        <w:rPr>
          <w:rFonts w:cs="Times New Roman"/>
          <w:bCs/>
          <w:color w:val="000000"/>
          <w:szCs w:val="24"/>
        </w:rPr>
        <w:t>..</w:t>
      </w:r>
      <w:r w:rsidRPr="007B44EB">
        <w:rPr>
          <w:rFonts w:cs="Times New Roman"/>
          <w:bCs/>
          <w:color w:val="000000"/>
          <w:szCs w:val="24"/>
        </w:rPr>
        <w:t>................... 4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 xml:space="preserve">3. Ciljna </w:t>
      </w:r>
      <w:r w:rsidR="000F1548" w:rsidRPr="0066019C">
        <w:rPr>
          <w:rFonts w:cs="Times New Roman"/>
          <w:b/>
          <w:bCs/>
          <w:color w:val="000000"/>
          <w:szCs w:val="24"/>
        </w:rPr>
        <w:t xml:space="preserve">skupina </w:t>
      </w:r>
      <w:r w:rsidRPr="0066019C">
        <w:rPr>
          <w:rFonts w:cs="Times New Roman"/>
          <w:b/>
          <w:bCs/>
          <w:color w:val="000000"/>
          <w:szCs w:val="24"/>
        </w:rPr>
        <w:t>.........................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...................</w:t>
      </w:r>
      <w:r w:rsidRPr="0066019C">
        <w:rPr>
          <w:rFonts w:cs="Times New Roman"/>
          <w:b/>
          <w:bCs/>
          <w:color w:val="000000"/>
          <w:szCs w:val="24"/>
        </w:rPr>
        <w:t>..............</w:t>
      </w:r>
      <w:r w:rsidR="000F1548" w:rsidRPr="0066019C">
        <w:rPr>
          <w:rFonts w:cs="Times New Roman"/>
          <w:b/>
          <w:bCs/>
          <w:color w:val="000000"/>
          <w:szCs w:val="24"/>
        </w:rPr>
        <w:t>.</w:t>
      </w:r>
      <w:r w:rsidRPr="0066019C">
        <w:rPr>
          <w:rFonts w:cs="Times New Roman"/>
          <w:b/>
          <w:bCs/>
          <w:color w:val="000000"/>
          <w:szCs w:val="24"/>
        </w:rPr>
        <w:t>...................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</w:t>
      </w:r>
      <w:r w:rsidR="00416258">
        <w:rPr>
          <w:rFonts w:cs="Times New Roman"/>
          <w:b/>
          <w:bCs/>
          <w:color w:val="000000"/>
          <w:szCs w:val="24"/>
        </w:rPr>
        <w:t>.........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</w:t>
      </w:r>
      <w:r w:rsidRPr="0066019C">
        <w:rPr>
          <w:rFonts w:cs="Times New Roman"/>
          <w:b/>
          <w:bCs/>
          <w:color w:val="000000"/>
          <w:szCs w:val="24"/>
        </w:rPr>
        <w:t xml:space="preserve"> 4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 xml:space="preserve">4. </w:t>
      </w:r>
      <w:r w:rsidR="001D5BD0">
        <w:rPr>
          <w:rFonts w:cs="Times New Roman"/>
          <w:b/>
          <w:bCs/>
          <w:color w:val="000000"/>
          <w:szCs w:val="24"/>
        </w:rPr>
        <w:t>Ključne etape/točke</w:t>
      </w:r>
      <w:r w:rsidRPr="0066019C">
        <w:rPr>
          <w:rFonts w:cs="Times New Roman"/>
          <w:b/>
          <w:bCs/>
          <w:color w:val="000000"/>
          <w:szCs w:val="24"/>
        </w:rPr>
        <w:t>, događaji i ključne poruke ............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..........................</w:t>
      </w:r>
      <w:r w:rsidR="00115654">
        <w:rPr>
          <w:rFonts w:cs="Times New Roman"/>
          <w:b/>
          <w:bCs/>
          <w:color w:val="000000"/>
          <w:szCs w:val="24"/>
        </w:rPr>
        <w:t>.</w:t>
      </w:r>
      <w:r w:rsidR="00416258">
        <w:rPr>
          <w:rFonts w:cs="Times New Roman"/>
          <w:b/>
          <w:bCs/>
          <w:color w:val="000000"/>
          <w:szCs w:val="24"/>
        </w:rPr>
        <w:t>......</w:t>
      </w:r>
      <w:r w:rsidR="0048797D" w:rsidRPr="0066019C">
        <w:rPr>
          <w:rFonts w:cs="Times New Roman"/>
          <w:b/>
          <w:bCs/>
          <w:color w:val="000000"/>
          <w:szCs w:val="24"/>
        </w:rPr>
        <w:t xml:space="preserve">.................. </w:t>
      </w:r>
      <w:r w:rsidRPr="0066019C">
        <w:rPr>
          <w:rFonts w:cs="Times New Roman"/>
          <w:b/>
          <w:bCs/>
          <w:color w:val="000000"/>
          <w:szCs w:val="24"/>
        </w:rPr>
        <w:t>6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 xml:space="preserve">4.1. </w:t>
      </w:r>
      <w:proofErr w:type="spellStart"/>
      <w:r w:rsidR="0036720D">
        <w:rPr>
          <w:rFonts w:cs="Times New Roman"/>
          <w:bCs/>
          <w:color w:val="000000"/>
          <w:szCs w:val="24"/>
        </w:rPr>
        <w:t>Nanovije</w:t>
      </w:r>
      <w:proofErr w:type="spellEnd"/>
      <w:r w:rsidR="0036720D">
        <w:rPr>
          <w:rFonts w:cs="Times New Roman"/>
          <w:bCs/>
          <w:color w:val="000000"/>
          <w:szCs w:val="24"/>
        </w:rPr>
        <w:t xml:space="preserve"> informacije o </w:t>
      </w:r>
      <w:r w:rsidRPr="007B44EB">
        <w:rPr>
          <w:rFonts w:cs="Times New Roman"/>
          <w:bCs/>
          <w:color w:val="000000"/>
          <w:szCs w:val="24"/>
        </w:rPr>
        <w:t>projekt</w:t>
      </w:r>
      <w:r w:rsidR="0036720D">
        <w:rPr>
          <w:rFonts w:cs="Times New Roman"/>
          <w:bCs/>
          <w:color w:val="000000"/>
          <w:szCs w:val="24"/>
        </w:rPr>
        <w:t>u</w:t>
      </w:r>
      <w:r w:rsidRPr="007B44EB">
        <w:rPr>
          <w:rFonts w:cs="Times New Roman"/>
          <w:bCs/>
          <w:color w:val="000000"/>
          <w:szCs w:val="24"/>
        </w:rPr>
        <w:t xml:space="preserve"> .........</w:t>
      </w:r>
      <w:r w:rsidR="0048797D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..................</w:t>
      </w:r>
      <w:r w:rsidR="00416258" w:rsidRPr="007B44EB">
        <w:rPr>
          <w:rFonts w:cs="Times New Roman"/>
          <w:bCs/>
          <w:color w:val="000000"/>
          <w:szCs w:val="24"/>
        </w:rPr>
        <w:t>......</w:t>
      </w:r>
      <w:r w:rsidRPr="007B44EB">
        <w:rPr>
          <w:rFonts w:cs="Times New Roman"/>
          <w:bCs/>
          <w:color w:val="000000"/>
          <w:szCs w:val="24"/>
        </w:rPr>
        <w:t>...........</w:t>
      </w:r>
      <w:r w:rsidR="00F7514F" w:rsidRPr="007B44EB">
        <w:rPr>
          <w:rFonts w:cs="Times New Roman"/>
          <w:bCs/>
          <w:color w:val="000000"/>
          <w:szCs w:val="24"/>
        </w:rPr>
        <w:t>.</w:t>
      </w:r>
      <w:r w:rsidR="007B44EB">
        <w:rPr>
          <w:rFonts w:cs="Times New Roman"/>
          <w:bCs/>
          <w:color w:val="000000"/>
          <w:szCs w:val="24"/>
        </w:rPr>
        <w:t>.....</w:t>
      </w:r>
      <w:r w:rsidR="00F7514F" w:rsidRPr="007B44EB">
        <w:rPr>
          <w:rFonts w:cs="Times New Roman"/>
          <w:bCs/>
          <w:color w:val="000000"/>
          <w:szCs w:val="24"/>
        </w:rPr>
        <w:t xml:space="preserve">....... </w:t>
      </w:r>
      <w:r w:rsidRPr="007B44EB">
        <w:rPr>
          <w:rFonts w:cs="Times New Roman"/>
          <w:bCs/>
          <w:color w:val="000000"/>
          <w:szCs w:val="24"/>
        </w:rPr>
        <w:t>6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4.2. Nadahnite i motivirajte ................</w:t>
      </w:r>
      <w:r w:rsidR="0048797D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................................</w:t>
      </w:r>
      <w:r w:rsidR="00416258" w:rsidRPr="007B44EB">
        <w:rPr>
          <w:rFonts w:cs="Times New Roman"/>
          <w:bCs/>
          <w:color w:val="000000"/>
          <w:szCs w:val="24"/>
        </w:rPr>
        <w:t>.........</w:t>
      </w:r>
      <w:r w:rsidRPr="007B44EB">
        <w:rPr>
          <w:rFonts w:cs="Times New Roman"/>
          <w:bCs/>
          <w:color w:val="000000"/>
          <w:szCs w:val="24"/>
        </w:rPr>
        <w:t>...</w:t>
      </w:r>
      <w:r w:rsidR="007B44EB">
        <w:rPr>
          <w:rFonts w:cs="Times New Roman"/>
          <w:bCs/>
          <w:color w:val="000000"/>
          <w:szCs w:val="24"/>
        </w:rPr>
        <w:t>...</w:t>
      </w:r>
      <w:r w:rsidRPr="007B44EB">
        <w:rPr>
          <w:rFonts w:cs="Times New Roman"/>
          <w:bCs/>
          <w:color w:val="000000"/>
          <w:szCs w:val="24"/>
        </w:rPr>
        <w:t>.......</w:t>
      </w:r>
      <w:r w:rsidR="0048797D" w:rsidRPr="007B44EB">
        <w:rPr>
          <w:rFonts w:cs="Times New Roman"/>
          <w:bCs/>
          <w:color w:val="000000"/>
          <w:szCs w:val="24"/>
        </w:rPr>
        <w:t>..</w:t>
      </w:r>
      <w:r w:rsidR="00F7514F" w:rsidRPr="007B44EB">
        <w:rPr>
          <w:rFonts w:cs="Times New Roman"/>
          <w:bCs/>
          <w:color w:val="000000"/>
          <w:szCs w:val="24"/>
        </w:rPr>
        <w:t xml:space="preserve"> </w:t>
      </w:r>
      <w:r w:rsidRPr="007B44EB">
        <w:rPr>
          <w:rFonts w:cs="Times New Roman"/>
          <w:bCs/>
          <w:color w:val="000000"/>
          <w:szCs w:val="24"/>
        </w:rPr>
        <w:t>6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 xml:space="preserve">4.3. Izgradnja kapaciteta i </w:t>
      </w:r>
      <w:r w:rsidR="00230A79" w:rsidRPr="007B44EB">
        <w:rPr>
          <w:rFonts w:cs="Times New Roman"/>
          <w:bCs/>
          <w:color w:val="000000"/>
          <w:szCs w:val="24"/>
        </w:rPr>
        <w:t>međunarodno</w:t>
      </w:r>
      <w:r w:rsidRPr="007B44EB">
        <w:rPr>
          <w:rFonts w:cs="Times New Roman"/>
          <w:bCs/>
          <w:color w:val="000000"/>
          <w:szCs w:val="24"/>
        </w:rPr>
        <w:t xml:space="preserve"> učenje ..............</w:t>
      </w:r>
      <w:r w:rsidR="0048797D" w:rsidRPr="007B44EB">
        <w:rPr>
          <w:rFonts w:cs="Times New Roman"/>
          <w:bCs/>
          <w:color w:val="000000"/>
          <w:szCs w:val="24"/>
        </w:rPr>
        <w:t>...........</w:t>
      </w:r>
      <w:r w:rsidR="00230A79" w:rsidRPr="007B44EB">
        <w:rPr>
          <w:rFonts w:cs="Times New Roman"/>
          <w:bCs/>
          <w:color w:val="000000"/>
          <w:szCs w:val="24"/>
        </w:rPr>
        <w:t>...</w:t>
      </w:r>
      <w:r w:rsidR="0048797D" w:rsidRPr="007B44EB">
        <w:rPr>
          <w:rFonts w:cs="Times New Roman"/>
          <w:bCs/>
          <w:color w:val="000000"/>
          <w:szCs w:val="24"/>
        </w:rPr>
        <w:t>................</w:t>
      </w:r>
      <w:r w:rsidR="009E4C19" w:rsidRPr="007B44EB">
        <w:rPr>
          <w:rFonts w:cs="Times New Roman"/>
          <w:bCs/>
          <w:color w:val="000000"/>
          <w:szCs w:val="24"/>
        </w:rPr>
        <w:t>.....</w:t>
      </w:r>
      <w:r w:rsidR="0048797D" w:rsidRPr="007B44EB">
        <w:rPr>
          <w:rFonts w:cs="Times New Roman"/>
          <w:bCs/>
          <w:color w:val="000000"/>
          <w:szCs w:val="24"/>
        </w:rPr>
        <w:t>....</w:t>
      </w:r>
      <w:r w:rsidRPr="007B44EB">
        <w:rPr>
          <w:rFonts w:cs="Times New Roman"/>
          <w:bCs/>
          <w:color w:val="000000"/>
          <w:szCs w:val="24"/>
        </w:rPr>
        <w:t>.....</w:t>
      </w:r>
      <w:r w:rsidR="007B44EB">
        <w:rPr>
          <w:rFonts w:cs="Times New Roman"/>
          <w:bCs/>
          <w:color w:val="000000"/>
          <w:szCs w:val="24"/>
        </w:rPr>
        <w:t>......</w:t>
      </w:r>
      <w:r w:rsidR="0048797D" w:rsidRPr="007B44EB">
        <w:rPr>
          <w:rFonts w:cs="Times New Roman"/>
          <w:bCs/>
          <w:color w:val="000000"/>
          <w:szCs w:val="24"/>
        </w:rPr>
        <w:t>.....</w:t>
      </w:r>
      <w:r w:rsidR="00F7514F" w:rsidRPr="007B44EB">
        <w:rPr>
          <w:rFonts w:cs="Times New Roman"/>
          <w:bCs/>
          <w:color w:val="000000"/>
          <w:szCs w:val="24"/>
        </w:rPr>
        <w:t xml:space="preserve">.. </w:t>
      </w:r>
      <w:r w:rsidRPr="007B44EB">
        <w:rPr>
          <w:rFonts w:cs="Times New Roman"/>
          <w:bCs/>
          <w:color w:val="000000"/>
          <w:szCs w:val="24"/>
        </w:rPr>
        <w:t>7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 xml:space="preserve">4.4. </w:t>
      </w:r>
      <w:r w:rsidR="00133E03" w:rsidRPr="007B44EB">
        <w:rPr>
          <w:rFonts w:cs="Times New Roman"/>
          <w:bCs/>
          <w:color w:val="000000"/>
          <w:szCs w:val="24"/>
        </w:rPr>
        <w:t>URBACT lokaln</w:t>
      </w:r>
      <w:r w:rsidR="00986584">
        <w:rPr>
          <w:rFonts w:cs="Times New Roman"/>
          <w:bCs/>
          <w:color w:val="000000"/>
          <w:szCs w:val="24"/>
        </w:rPr>
        <w:t>e</w:t>
      </w:r>
      <w:r w:rsidR="00133E03" w:rsidRPr="007B44EB">
        <w:rPr>
          <w:rFonts w:cs="Times New Roman"/>
          <w:bCs/>
          <w:color w:val="000000"/>
          <w:szCs w:val="24"/>
        </w:rPr>
        <w:t xml:space="preserve"> radn</w:t>
      </w:r>
      <w:r w:rsidR="00986584">
        <w:rPr>
          <w:rFonts w:cs="Times New Roman"/>
          <w:bCs/>
          <w:color w:val="000000"/>
          <w:szCs w:val="24"/>
        </w:rPr>
        <w:t>e</w:t>
      </w:r>
      <w:r w:rsidR="00133E03" w:rsidRPr="007B44EB">
        <w:rPr>
          <w:rFonts w:cs="Times New Roman"/>
          <w:bCs/>
          <w:color w:val="000000"/>
          <w:szCs w:val="24"/>
        </w:rPr>
        <w:t xml:space="preserve"> skupin</w:t>
      </w:r>
      <w:r w:rsidR="00986584">
        <w:rPr>
          <w:rFonts w:cs="Times New Roman"/>
          <w:bCs/>
          <w:color w:val="000000"/>
          <w:szCs w:val="24"/>
        </w:rPr>
        <w:t>e</w:t>
      </w:r>
      <w:r w:rsidR="00133E03" w:rsidRPr="007B44EB">
        <w:rPr>
          <w:rFonts w:cs="Times New Roman"/>
          <w:bCs/>
          <w:color w:val="000000"/>
          <w:szCs w:val="24"/>
        </w:rPr>
        <w:t xml:space="preserve"> </w:t>
      </w:r>
      <w:r w:rsidR="0048797D" w:rsidRPr="007B44EB">
        <w:rPr>
          <w:rFonts w:cs="Times New Roman"/>
          <w:bCs/>
          <w:color w:val="000000"/>
          <w:szCs w:val="24"/>
        </w:rPr>
        <w:t>......</w:t>
      </w:r>
      <w:r w:rsidR="00133E03" w:rsidRPr="007B44EB">
        <w:rPr>
          <w:rFonts w:cs="Times New Roman"/>
          <w:bCs/>
          <w:color w:val="000000"/>
          <w:szCs w:val="24"/>
        </w:rPr>
        <w:t>......................................................</w:t>
      </w:r>
      <w:r w:rsidR="009E4C19" w:rsidRPr="007B44EB">
        <w:rPr>
          <w:rFonts w:cs="Times New Roman"/>
          <w:bCs/>
          <w:color w:val="000000"/>
          <w:szCs w:val="24"/>
        </w:rPr>
        <w:t>...</w:t>
      </w:r>
      <w:r w:rsidR="00133E03" w:rsidRPr="007B44EB">
        <w:rPr>
          <w:rFonts w:cs="Times New Roman"/>
          <w:bCs/>
          <w:color w:val="000000"/>
          <w:szCs w:val="24"/>
        </w:rPr>
        <w:t>.....</w:t>
      </w:r>
      <w:r w:rsidR="0048797D" w:rsidRPr="007B44EB">
        <w:rPr>
          <w:rFonts w:cs="Times New Roman"/>
          <w:bCs/>
          <w:color w:val="000000"/>
          <w:szCs w:val="24"/>
        </w:rPr>
        <w:t>..</w:t>
      </w:r>
      <w:r w:rsidRPr="007B44EB">
        <w:rPr>
          <w:rFonts w:cs="Times New Roman"/>
          <w:bCs/>
          <w:color w:val="000000"/>
          <w:szCs w:val="24"/>
        </w:rPr>
        <w:t>...</w:t>
      </w:r>
      <w:r w:rsidR="00581925" w:rsidRPr="007B44EB">
        <w:rPr>
          <w:rFonts w:cs="Times New Roman"/>
          <w:bCs/>
          <w:color w:val="000000"/>
          <w:szCs w:val="24"/>
        </w:rPr>
        <w:t>.</w:t>
      </w:r>
      <w:r w:rsidR="007B44EB">
        <w:rPr>
          <w:rFonts w:cs="Times New Roman"/>
          <w:bCs/>
          <w:color w:val="000000"/>
          <w:szCs w:val="24"/>
        </w:rPr>
        <w:t>....</w:t>
      </w:r>
      <w:r w:rsidR="00581925" w:rsidRPr="007B44EB">
        <w:rPr>
          <w:rFonts w:cs="Times New Roman"/>
          <w:bCs/>
          <w:color w:val="000000"/>
          <w:szCs w:val="24"/>
        </w:rPr>
        <w:t>...</w:t>
      </w:r>
      <w:r w:rsidR="0048797D" w:rsidRPr="007B44EB">
        <w:rPr>
          <w:rFonts w:cs="Times New Roman"/>
          <w:bCs/>
          <w:color w:val="000000"/>
          <w:szCs w:val="24"/>
        </w:rPr>
        <w:t>...</w:t>
      </w:r>
      <w:r w:rsidR="00F7514F" w:rsidRPr="007B44EB">
        <w:rPr>
          <w:rFonts w:cs="Times New Roman"/>
          <w:bCs/>
          <w:color w:val="000000"/>
          <w:szCs w:val="24"/>
        </w:rPr>
        <w:t xml:space="preserve">... </w:t>
      </w:r>
      <w:r w:rsidRPr="007B44EB">
        <w:rPr>
          <w:rFonts w:cs="Times New Roman"/>
          <w:bCs/>
          <w:color w:val="000000"/>
          <w:szCs w:val="24"/>
        </w:rPr>
        <w:t>8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 xml:space="preserve">5. Odabrani kanali </w:t>
      </w:r>
      <w:r w:rsidR="00410A15">
        <w:rPr>
          <w:rFonts w:cs="Times New Roman"/>
          <w:b/>
          <w:bCs/>
          <w:color w:val="000000"/>
          <w:szCs w:val="24"/>
        </w:rPr>
        <w:t>komunikacije 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.....................</w:t>
      </w:r>
      <w:r w:rsidRPr="0066019C">
        <w:rPr>
          <w:rFonts w:cs="Times New Roman"/>
          <w:b/>
          <w:bCs/>
          <w:color w:val="000000"/>
          <w:szCs w:val="24"/>
        </w:rPr>
        <w:t>..................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..........................</w:t>
      </w:r>
      <w:r w:rsidR="009E4C19">
        <w:rPr>
          <w:rFonts w:cs="Times New Roman"/>
          <w:b/>
          <w:bCs/>
          <w:color w:val="000000"/>
          <w:szCs w:val="24"/>
        </w:rPr>
        <w:t>........</w:t>
      </w:r>
      <w:r w:rsidR="0048797D" w:rsidRPr="0066019C">
        <w:rPr>
          <w:rFonts w:cs="Times New Roman"/>
          <w:b/>
          <w:bCs/>
          <w:color w:val="000000"/>
          <w:szCs w:val="24"/>
        </w:rPr>
        <w:t>...............</w:t>
      </w:r>
      <w:r w:rsidR="00F7514F" w:rsidRPr="0066019C">
        <w:rPr>
          <w:rFonts w:cs="Times New Roman"/>
          <w:b/>
          <w:bCs/>
          <w:color w:val="000000"/>
          <w:szCs w:val="24"/>
        </w:rPr>
        <w:t xml:space="preserve">. </w:t>
      </w:r>
      <w:r w:rsidRPr="0066019C">
        <w:rPr>
          <w:rFonts w:cs="Times New Roman"/>
          <w:b/>
          <w:bCs/>
          <w:color w:val="000000"/>
          <w:szCs w:val="24"/>
        </w:rPr>
        <w:t>8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5.1. Twitter (u kombinaciji s vijestima i člancima) ........</w:t>
      </w:r>
      <w:r w:rsidR="003B461E" w:rsidRPr="007B44EB">
        <w:rPr>
          <w:rFonts w:cs="Times New Roman"/>
          <w:bCs/>
          <w:color w:val="000000"/>
          <w:szCs w:val="24"/>
        </w:rPr>
        <w:t>............................</w:t>
      </w:r>
      <w:r w:rsidR="009E4C19" w:rsidRPr="007B44EB">
        <w:rPr>
          <w:rFonts w:cs="Times New Roman"/>
          <w:bCs/>
          <w:color w:val="000000"/>
          <w:szCs w:val="24"/>
        </w:rPr>
        <w:t>...</w:t>
      </w:r>
      <w:r w:rsidR="003B461E" w:rsidRPr="007B44EB">
        <w:rPr>
          <w:rFonts w:cs="Times New Roman"/>
          <w:bCs/>
          <w:color w:val="000000"/>
          <w:szCs w:val="24"/>
        </w:rPr>
        <w:t>...</w:t>
      </w:r>
      <w:r w:rsidRPr="007B44EB">
        <w:rPr>
          <w:rFonts w:cs="Times New Roman"/>
          <w:bCs/>
          <w:color w:val="000000"/>
          <w:szCs w:val="24"/>
        </w:rPr>
        <w:t>...........</w:t>
      </w:r>
      <w:r w:rsidR="007B44EB">
        <w:rPr>
          <w:rFonts w:cs="Times New Roman"/>
          <w:bCs/>
          <w:color w:val="000000"/>
          <w:szCs w:val="24"/>
        </w:rPr>
        <w:t>....</w:t>
      </w:r>
      <w:r w:rsidRPr="007B44EB">
        <w:rPr>
          <w:rFonts w:cs="Times New Roman"/>
          <w:bCs/>
          <w:color w:val="000000"/>
          <w:szCs w:val="24"/>
        </w:rPr>
        <w:t>.........</w:t>
      </w:r>
      <w:r w:rsidR="00F7514F" w:rsidRPr="007B44EB">
        <w:rPr>
          <w:rFonts w:cs="Times New Roman"/>
          <w:bCs/>
          <w:color w:val="000000"/>
          <w:szCs w:val="24"/>
        </w:rPr>
        <w:t xml:space="preserve"> </w:t>
      </w:r>
      <w:r w:rsidRPr="007B44EB">
        <w:rPr>
          <w:rFonts w:cs="Times New Roman"/>
          <w:bCs/>
          <w:color w:val="000000"/>
          <w:szCs w:val="24"/>
        </w:rPr>
        <w:t>9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5.2. Statička stranica (na URBACT web stranici) ...........................</w:t>
      </w:r>
      <w:r w:rsidR="003B461E" w:rsidRPr="007B44EB">
        <w:rPr>
          <w:rFonts w:cs="Times New Roman"/>
          <w:bCs/>
          <w:color w:val="000000"/>
          <w:szCs w:val="24"/>
        </w:rPr>
        <w:t>.......................</w:t>
      </w:r>
      <w:r w:rsidR="009E4C19" w:rsidRPr="007B44EB">
        <w:rPr>
          <w:rFonts w:cs="Times New Roman"/>
          <w:bCs/>
          <w:color w:val="000000"/>
          <w:szCs w:val="24"/>
        </w:rPr>
        <w:t>.</w:t>
      </w:r>
      <w:r w:rsidR="003B461E" w:rsidRPr="007B44EB">
        <w:rPr>
          <w:rFonts w:cs="Times New Roman"/>
          <w:bCs/>
          <w:color w:val="000000"/>
          <w:szCs w:val="24"/>
        </w:rPr>
        <w:t>......</w:t>
      </w:r>
      <w:r w:rsidR="007B44EB">
        <w:rPr>
          <w:rFonts w:cs="Times New Roman"/>
          <w:bCs/>
          <w:color w:val="000000"/>
          <w:szCs w:val="24"/>
        </w:rPr>
        <w:t>.....</w:t>
      </w:r>
      <w:r w:rsidR="00F7514F" w:rsidRPr="007B44EB">
        <w:rPr>
          <w:rFonts w:cs="Times New Roman"/>
          <w:bCs/>
          <w:color w:val="000000"/>
          <w:szCs w:val="24"/>
        </w:rPr>
        <w:t xml:space="preserve">...... </w:t>
      </w:r>
      <w:r w:rsidRPr="007B44EB">
        <w:rPr>
          <w:rFonts w:cs="Times New Roman"/>
          <w:bCs/>
          <w:color w:val="000000"/>
          <w:szCs w:val="24"/>
        </w:rPr>
        <w:t>9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5.3. YouTube kanal .................</w:t>
      </w:r>
      <w:r w:rsidR="00B3795E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............................</w:t>
      </w:r>
      <w:r w:rsidR="005704CE" w:rsidRPr="007B44EB">
        <w:rPr>
          <w:rFonts w:cs="Times New Roman"/>
          <w:bCs/>
          <w:color w:val="000000"/>
          <w:szCs w:val="24"/>
        </w:rPr>
        <w:t>........</w:t>
      </w:r>
      <w:r w:rsidRPr="007B44EB">
        <w:rPr>
          <w:rFonts w:cs="Times New Roman"/>
          <w:bCs/>
          <w:color w:val="000000"/>
          <w:szCs w:val="24"/>
        </w:rPr>
        <w:t>...............</w:t>
      </w:r>
      <w:r w:rsidR="00B3795E" w:rsidRPr="007B44EB">
        <w:rPr>
          <w:rFonts w:cs="Times New Roman"/>
          <w:bCs/>
          <w:color w:val="000000"/>
          <w:szCs w:val="24"/>
        </w:rPr>
        <w:t>.......</w:t>
      </w:r>
      <w:r w:rsidR="007B44EB">
        <w:rPr>
          <w:rFonts w:cs="Times New Roman"/>
          <w:bCs/>
          <w:color w:val="000000"/>
          <w:szCs w:val="24"/>
        </w:rPr>
        <w:t>..</w:t>
      </w:r>
      <w:r w:rsidR="00B3795E" w:rsidRPr="007B44EB">
        <w:rPr>
          <w:rFonts w:cs="Times New Roman"/>
          <w:bCs/>
          <w:color w:val="000000"/>
          <w:szCs w:val="24"/>
        </w:rPr>
        <w:t>......</w:t>
      </w:r>
      <w:r w:rsidRPr="007B44EB">
        <w:rPr>
          <w:rFonts w:cs="Times New Roman"/>
          <w:bCs/>
          <w:color w:val="000000"/>
          <w:szCs w:val="24"/>
        </w:rPr>
        <w:t>10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>6. Modeli i alati ..............</w:t>
      </w:r>
      <w:r w:rsidR="00B3795E" w:rsidRPr="0066019C">
        <w:rPr>
          <w:rFonts w:cs="Times New Roman"/>
          <w:b/>
          <w:bCs/>
          <w:color w:val="000000"/>
          <w:szCs w:val="24"/>
        </w:rPr>
        <w:t>..............................</w:t>
      </w:r>
      <w:r w:rsidRPr="0066019C">
        <w:rPr>
          <w:rFonts w:cs="Times New Roman"/>
          <w:b/>
          <w:bCs/>
          <w:color w:val="000000"/>
          <w:szCs w:val="24"/>
        </w:rPr>
        <w:t>.........................</w:t>
      </w:r>
      <w:r w:rsidR="005704CE">
        <w:rPr>
          <w:rFonts w:cs="Times New Roman"/>
          <w:b/>
          <w:bCs/>
          <w:color w:val="000000"/>
          <w:szCs w:val="24"/>
        </w:rPr>
        <w:t>.........</w:t>
      </w:r>
      <w:r w:rsidRPr="0066019C">
        <w:rPr>
          <w:rFonts w:cs="Times New Roman"/>
          <w:b/>
          <w:bCs/>
          <w:color w:val="000000"/>
          <w:szCs w:val="24"/>
        </w:rPr>
        <w:t>..........</w:t>
      </w:r>
      <w:r w:rsidR="00B3795E" w:rsidRPr="0066019C">
        <w:rPr>
          <w:rFonts w:cs="Times New Roman"/>
          <w:b/>
          <w:bCs/>
          <w:color w:val="000000"/>
          <w:szCs w:val="24"/>
        </w:rPr>
        <w:t>...............................</w:t>
      </w:r>
      <w:r w:rsidRPr="0066019C">
        <w:rPr>
          <w:rFonts w:cs="Times New Roman"/>
          <w:b/>
          <w:bCs/>
          <w:color w:val="000000"/>
          <w:szCs w:val="24"/>
        </w:rPr>
        <w:t>10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6.1. Modeli ..................</w:t>
      </w:r>
      <w:r w:rsidR="00B3795E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...................</w:t>
      </w:r>
      <w:r w:rsidR="00B3795E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</w:t>
      </w:r>
      <w:r w:rsidR="00081189" w:rsidRPr="007B44EB">
        <w:rPr>
          <w:rFonts w:cs="Times New Roman"/>
          <w:bCs/>
          <w:color w:val="000000"/>
          <w:szCs w:val="24"/>
        </w:rPr>
        <w:t>...........</w:t>
      </w:r>
      <w:r w:rsidRPr="007B44EB">
        <w:rPr>
          <w:rFonts w:cs="Times New Roman"/>
          <w:bCs/>
          <w:color w:val="000000"/>
          <w:szCs w:val="24"/>
        </w:rPr>
        <w:t>...</w:t>
      </w:r>
      <w:r w:rsidR="00B3795E" w:rsidRPr="007B44EB">
        <w:rPr>
          <w:rFonts w:cs="Times New Roman"/>
          <w:bCs/>
          <w:color w:val="000000"/>
          <w:szCs w:val="24"/>
        </w:rPr>
        <w:t>...........</w:t>
      </w:r>
      <w:r w:rsidRPr="007B44EB">
        <w:rPr>
          <w:rFonts w:cs="Times New Roman"/>
          <w:bCs/>
          <w:color w:val="000000"/>
          <w:szCs w:val="24"/>
        </w:rPr>
        <w:t>10</w:t>
      </w:r>
    </w:p>
    <w:p w:rsidR="00E11302" w:rsidRPr="007B44EB" w:rsidRDefault="00E11302" w:rsidP="007B44EB">
      <w:pPr>
        <w:rPr>
          <w:rFonts w:cs="Times New Roman"/>
          <w:bCs/>
          <w:color w:val="000000"/>
          <w:szCs w:val="24"/>
        </w:rPr>
      </w:pPr>
      <w:r w:rsidRPr="007B44EB">
        <w:rPr>
          <w:rFonts w:cs="Times New Roman"/>
          <w:bCs/>
          <w:color w:val="000000"/>
          <w:szCs w:val="24"/>
        </w:rPr>
        <w:t>6.2. Alati ..................</w:t>
      </w:r>
      <w:r w:rsidR="00B3795E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...................</w:t>
      </w:r>
      <w:r w:rsidR="00B3795E" w:rsidRPr="007B44EB">
        <w:rPr>
          <w:rFonts w:cs="Times New Roman"/>
          <w:bCs/>
          <w:color w:val="000000"/>
          <w:szCs w:val="24"/>
        </w:rPr>
        <w:t>...............................</w:t>
      </w:r>
      <w:r w:rsidRPr="007B44EB">
        <w:rPr>
          <w:rFonts w:cs="Times New Roman"/>
          <w:bCs/>
          <w:color w:val="000000"/>
          <w:szCs w:val="24"/>
        </w:rPr>
        <w:t>..</w:t>
      </w:r>
      <w:r w:rsidR="00081189" w:rsidRPr="007B44EB">
        <w:rPr>
          <w:rFonts w:cs="Times New Roman"/>
          <w:bCs/>
          <w:color w:val="000000"/>
          <w:szCs w:val="24"/>
        </w:rPr>
        <w:t>..........</w:t>
      </w:r>
      <w:r w:rsidRPr="007B44EB">
        <w:rPr>
          <w:rFonts w:cs="Times New Roman"/>
          <w:bCs/>
          <w:color w:val="000000"/>
          <w:szCs w:val="24"/>
        </w:rPr>
        <w:t>........</w:t>
      </w:r>
      <w:r w:rsidR="00B3795E" w:rsidRPr="007B44EB">
        <w:rPr>
          <w:rFonts w:cs="Times New Roman"/>
          <w:bCs/>
          <w:color w:val="000000"/>
          <w:szCs w:val="24"/>
        </w:rPr>
        <w:t>...........</w:t>
      </w:r>
      <w:r w:rsidRPr="007B44EB">
        <w:rPr>
          <w:rFonts w:cs="Times New Roman"/>
          <w:bCs/>
          <w:color w:val="000000"/>
          <w:szCs w:val="24"/>
        </w:rPr>
        <w:t>11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>7. Ideje proizvoda ..............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...............................</w:t>
      </w:r>
      <w:r w:rsidRPr="0066019C">
        <w:rPr>
          <w:rFonts w:cs="Times New Roman"/>
          <w:b/>
          <w:bCs/>
          <w:color w:val="000000"/>
          <w:szCs w:val="24"/>
        </w:rPr>
        <w:t>...................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</w:t>
      </w:r>
      <w:r w:rsidR="00081189">
        <w:rPr>
          <w:rFonts w:cs="Times New Roman"/>
          <w:b/>
          <w:bCs/>
          <w:color w:val="000000"/>
          <w:szCs w:val="24"/>
        </w:rPr>
        <w:t>.........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......................</w:t>
      </w:r>
      <w:r w:rsidRPr="0066019C">
        <w:rPr>
          <w:rFonts w:cs="Times New Roman"/>
          <w:b/>
          <w:bCs/>
          <w:color w:val="000000"/>
          <w:szCs w:val="24"/>
        </w:rPr>
        <w:t>12</w:t>
      </w:r>
    </w:p>
    <w:p w:rsidR="00E11302" w:rsidRPr="0066019C" w:rsidRDefault="00E11302" w:rsidP="007B44EB">
      <w:pPr>
        <w:rPr>
          <w:rFonts w:cs="Times New Roman"/>
          <w:b/>
          <w:bCs/>
          <w:color w:val="000000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 xml:space="preserve">8. </w:t>
      </w:r>
      <w:r w:rsidR="00410A15">
        <w:rPr>
          <w:rFonts w:cs="Times New Roman"/>
          <w:b/>
          <w:bCs/>
          <w:color w:val="000000"/>
          <w:szCs w:val="24"/>
        </w:rPr>
        <w:t>Imenovani</w:t>
      </w:r>
      <w:r w:rsidRPr="0066019C">
        <w:rPr>
          <w:rFonts w:cs="Times New Roman"/>
          <w:b/>
          <w:bCs/>
          <w:color w:val="000000"/>
          <w:szCs w:val="24"/>
        </w:rPr>
        <w:t xml:space="preserve"> službenik za komunikaciju ..........</w:t>
      </w:r>
      <w:r w:rsidR="00410A15">
        <w:rPr>
          <w:rFonts w:cs="Times New Roman"/>
          <w:b/>
          <w:bCs/>
          <w:color w:val="000000"/>
          <w:szCs w:val="24"/>
        </w:rPr>
        <w:t>.</w:t>
      </w:r>
      <w:r w:rsidRPr="0066019C">
        <w:rPr>
          <w:rFonts w:cs="Times New Roman"/>
          <w:b/>
          <w:bCs/>
          <w:color w:val="000000"/>
          <w:szCs w:val="24"/>
        </w:rPr>
        <w:t>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............................</w:t>
      </w:r>
      <w:r w:rsidR="00081189">
        <w:rPr>
          <w:rFonts w:cs="Times New Roman"/>
          <w:b/>
          <w:bCs/>
          <w:color w:val="000000"/>
          <w:szCs w:val="24"/>
        </w:rPr>
        <w:t>....</w:t>
      </w:r>
      <w:r w:rsidR="00F7514F" w:rsidRPr="0066019C">
        <w:rPr>
          <w:rFonts w:cs="Times New Roman"/>
          <w:b/>
          <w:bCs/>
          <w:color w:val="000000"/>
          <w:szCs w:val="24"/>
        </w:rPr>
        <w:t>...</w:t>
      </w:r>
      <w:r w:rsidRPr="0066019C">
        <w:rPr>
          <w:rFonts w:cs="Times New Roman"/>
          <w:b/>
          <w:bCs/>
          <w:color w:val="000000"/>
          <w:szCs w:val="24"/>
        </w:rPr>
        <w:t>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</w:t>
      </w:r>
      <w:r w:rsidRPr="0066019C">
        <w:rPr>
          <w:rFonts w:cs="Times New Roman"/>
          <w:b/>
          <w:bCs/>
          <w:color w:val="000000"/>
          <w:szCs w:val="24"/>
        </w:rPr>
        <w:t>13</w:t>
      </w:r>
    </w:p>
    <w:p w:rsidR="004E6BE4" w:rsidRPr="0066019C" w:rsidRDefault="00E11302" w:rsidP="007B44EB">
      <w:pPr>
        <w:rPr>
          <w:rFonts w:cs="Times New Roman"/>
          <w:szCs w:val="24"/>
        </w:rPr>
      </w:pPr>
      <w:r w:rsidRPr="0066019C">
        <w:rPr>
          <w:rFonts w:cs="Times New Roman"/>
          <w:b/>
          <w:bCs/>
          <w:color w:val="000000"/>
          <w:szCs w:val="24"/>
        </w:rPr>
        <w:t>9. Pregled komunikacije ...............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...............................</w:t>
      </w:r>
      <w:r w:rsidRPr="0066019C">
        <w:rPr>
          <w:rFonts w:cs="Times New Roman"/>
          <w:b/>
          <w:bCs/>
          <w:color w:val="000000"/>
          <w:szCs w:val="24"/>
        </w:rPr>
        <w:t>.................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</w:t>
      </w:r>
      <w:r w:rsidR="00081189">
        <w:rPr>
          <w:rFonts w:cs="Times New Roman"/>
          <w:b/>
          <w:bCs/>
          <w:color w:val="000000"/>
          <w:szCs w:val="24"/>
        </w:rPr>
        <w:t>.......</w:t>
      </w:r>
      <w:r w:rsidR="00F7514F" w:rsidRPr="0066019C">
        <w:rPr>
          <w:rFonts w:cs="Times New Roman"/>
          <w:b/>
          <w:bCs/>
          <w:color w:val="000000"/>
          <w:szCs w:val="24"/>
        </w:rPr>
        <w:t>..........................</w:t>
      </w:r>
      <w:r w:rsidRPr="0066019C">
        <w:rPr>
          <w:rFonts w:cs="Times New Roman"/>
          <w:b/>
          <w:bCs/>
          <w:color w:val="000000"/>
          <w:szCs w:val="24"/>
        </w:rPr>
        <w:t>14</w:t>
      </w:r>
    </w:p>
    <w:p w:rsidR="004E6BE4" w:rsidRPr="0066019C" w:rsidRDefault="004E6BE4" w:rsidP="004E6BE4">
      <w:pPr>
        <w:rPr>
          <w:rFonts w:cs="Times New Roman"/>
          <w:szCs w:val="24"/>
        </w:rPr>
      </w:pPr>
    </w:p>
    <w:p w:rsidR="004E6BE4" w:rsidRPr="0066019C" w:rsidRDefault="004E6BE4" w:rsidP="004E6BE4">
      <w:pPr>
        <w:rPr>
          <w:rFonts w:cs="Times New Roman"/>
          <w:szCs w:val="24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>
      <w:pPr>
        <w:rPr>
          <w:sz w:val="23"/>
          <w:szCs w:val="23"/>
        </w:rPr>
      </w:pPr>
    </w:p>
    <w:p w:rsidR="004E6BE4" w:rsidRDefault="004E6BE4" w:rsidP="004E6BE4"/>
    <w:p w:rsidR="0085465B" w:rsidRDefault="0085465B" w:rsidP="004E6BE4"/>
    <w:p w:rsidR="0085465B" w:rsidRPr="00F45744" w:rsidRDefault="00B1108D" w:rsidP="0085465B">
      <w:pPr>
        <w:rPr>
          <w:b/>
        </w:rPr>
      </w:pPr>
      <w:r w:rsidRPr="00F45744">
        <w:rPr>
          <w:b/>
        </w:rPr>
        <w:t>1. Uvod</w:t>
      </w:r>
    </w:p>
    <w:p w:rsidR="0085465B" w:rsidRDefault="00863A60" w:rsidP="009826A5">
      <w:pPr>
        <w:jc w:val="both"/>
      </w:pPr>
      <w:r w:rsidRPr="00863A60">
        <w:t xml:space="preserve">Ovaj </w:t>
      </w:r>
      <w:r w:rsidR="009826A5">
        <w:t xml:space="preserve">komunikacijski </w:t>
      </w:r>
      <w:r w:rsidR="00926630" w:rsidRPr="00863A60">
        <w:t xml:space="preserve">plan </w:t>
      </w:r>
      <w:r w:rsidRPr="00863A60">
        <w:t xml:space="preserve">putokaz je za </w:t>
      </w:r>
      <w:r w:rsidR="00454B88">
        <w:t xml:space="preserve">gradove </w:t>
      </w:r>
      <w:r w:rsidRPr="00863A60">
        <w:t>partner</w:t>
      </w:r>
      <w:r w:rsidR="00454B88">
        <w:t>e</w:t>
      </w:r>
      <w:r w:rsidRPr="00863A60">
        <w:t xml:space="preserve"> u </w:t>
      </w:r>
      <w:r w:rsidR="00CC5F3A" w:rsidRPr="00CC5F3A">
        <w:t>Mrež</w:t>
      </w:r>
      <w:r w:rsidR="00CC5F3A">
        <w:t>i</w:t>
      </w:r>
      <w:r w:rsidR="00CC5F3A" w:rsidRPr="00CC5F3A">
        <w:t xml:space="preserve"> za akcijsko planiranje </w:t>
      </w:r>
      <w:r w:rsidR="00CC5F3A">
        <w:t>održivih</w:t>
      </w:r>
      <w:r w:rsidRPr="00863A60">
        <w:t xml:space="preserve"> gradov</w:t>
      </w:r>
      <w:r w:rsidR="00CC5F3A">
        <w:t>a</w:t>
      </w:r>
      <w:r w:rsidRPr="00863A60">
        <w:t>. Plan razrađuje glavn</w:t>
      </w:r>
      <w:r w:rsidR="009826A5">
        <w:t>a</w:t>
      </w:r>
      <w:r w:rsidRPr="00863A60">
        <w:t xml:space="preserve"> događa</w:t>
      </w:r>
      <w:r w:rsidR="009826A5">
        <w:t>n</w:t>
      </w:r>
      <w:r w:rsidRPr="00863A60">
        <w:t>j</w:t>
      </w:r>
      <w:r w:rsidR="009826A5">
        <w:t>a</w:t>
      </w:r>
      <w:r w:rsidRPr="00863A60">
        <w:t xml:space="preserve"> i rezultate koje </w:t>
      </w:r>
      <w:r w:rsidR="002658A7" w:rsidRPr="00863A60">
        <w:t xml:space="preserve">aktivno </w:t>
      </w:r>
      <w:r w:rsidR="009826A5">
        <w:t>komunicira</w:t>
      </w:r>
      <w:r w:rsidR="002658A7">
        <w:t xml:space="preserve"> </w:t>
      </w:r>
      <w:r w:rsidRPr="00863A60">
        <w:t>vodeći partner</w:t>
      </w:r>
      <w:r w:rsidR="009826A5">
        <w:t>,</w:t>
      </w:r>
      <w:r w:rsidRPr="00863A60">
        <w:t xml:space="preserve"> </w:t>
      </w:r>
      <w:r w:rsidR="002658A7">
        <w:t xml:space="preserve">grad </w:t>
      </w:r>
      <w:r w:rsidRPr="00863A60">
        <w:t>Hag . Također daje smjernice za daljnju komunikaci</w:t>
      </w:r>
      <w:r w:rsidR="009826A5">
        <w:t>ju i promociju proizvoda i alate</w:t>
      </w:r>
      <w:r w:rsidRPr="00863A60">
        <w:t>. Na primjer, format</w:t>
      </w:r>
      <w:r w:rsidR="0064609C">
        <w:t>/</w:t>
      </w:r>
      <w:r w:rsidRPr="00863A60">
        <w:t>i za vanjske dionike i (osnovn</w:t>
      </w:r>
      <w:r w:rsidR="009826A5">
        <w:t>e</w:t>
      </w:r>
      <w:r w:rsidRPr="00863A60">
        <w:t>) alat</w:t>
      </w:r>
      <w:r w:rsidR="009826A5">
        <w:t>e</w:t>
      </w:r>
      <w:r w:rsidRPr="00863A60">
        <w:t xml:space="preserve"> koji pomažu partnerima u njihovoj komunikaciji s njihovim </w:t>
      </w:r>
      <w:r w:rsidR="009826A5">
        <w:t>pojedinim</w:t>
      </w:r>
      <w:r w:rsidRPr="00863A60">
        <w:t xml:space="preserve"> dionicima.</w:t>
      </w:r>
    </w:p>
    <w:p w:rsidR="00E21831" w:rsidRDefault="00E21831" w:rsidP="0085465B"/>
    <w:p w:rsidR="0085465B" w:rsidRDefault="00797891" w:rsidP="00D41A5C">
      <w:pPr>
        <w:jc w:val="both"/>
      </w:pPr>
      <w:r w:rsidRPr="00797891">
        <w:t>Nadalje, opisane su ključne poruke projekta. On</w:t>
      </w:r>
      <w:r w:rsidR="003524B9">
        <w:t>e</w:t>
      </w:r>
      <w:r w:rsidRPr="00797891">
        <w:t xml:space="preserve"> se mogu koristiti u lokalnim </w:t>
      </w:r>
      <w:r w:rsidR="00D41A5C">
        <w:t>okolnostima (situacijama)</w:t>
      </w:r>
      <w:r w:rsidRPr="00797891">
        <w:t xml:space="preserve"> </w:t>
      </w:r>
      <w:r w:rsidR="00D41A5C">
        <w:t>te</w:t>
      </w:r>
      <w:r w:rsidRPr="00797891">
        <w:t xml:space="preserve"> </w:t>
      </w:r>
      <w:r w:rsidR="00D41A5C">
        <w:t xml:space="preserve">predočiti/prenijeti </w:t>
      </w:r>
      <w:r w:rsidRPr="00797891">
        <w:t>međunarodnu suradnju. Ovaj komunikacijski plan također je temelj za lokalne komunikacijske planove. Tijekom sastanaka o komunikaciji, bit će upućivanja na sadržaj i tumačenje lokalne situacije u gradovima i cilj</w:t>
      </w:r>
      <w:r w:rsidR="00362C0A">
        <w:t>a</w:t>
      </w:r>
      <w:r w:rsidRPr="00797891">
        <w:t xml:space="preserve">nim skupinama partnera. Ovo je važno i dragocjeno </w:t>
      </w:r>
      <w:r w:rsidR="00B52D35">
        <w:t xml:space="preserve">za </w:t>
      </w:r>
      <w:r w:rsidRPr="00797891">
        <w:t>dobr</w:t>
      </w:r>
      <w:r w:rsidR="00B52D35">
        <w:t>u</w:t>
      </w:r>
      <w:r w:rsidRPr="00797891">
        <w:t xml:space="preserve"> suradnj</w:t>
      </w:r>
      <w:r w:rsidR="00B52D35">
        <w:t>u</w:t>
      </w:r>
      <w:r w:rsidRPr="00797891">
        <w:t xml:space="preserve"> </w:t>
      </w:r>
      <w:r w:rsidR="00541CD2">
        <w:t xml:space="preserve">između </w:t>
      </w:r>
      <w:r w:rsidRPr="00797891">
        <w:t>službenika za komunikaciju.</w:t>
      </w:r>
    </w:p>
    <w:p w:rsidR="00E21831" w:rsidRDefault="00E21831" w:rsidP="0085465B"/>
    <w:p w:rsidR="0085465B" w:rsidRPr="00F45744" w:rsidRDefault="00E21831" w:rsidP="0085465B">
      <w:pPr>
        <w:rPr>
          <w:b/>
        </w:rPr>
      </w:pPr>
      <w:r w:rsidRPr="00F45744">
        <w:rPr>
          <w:b/>
        </w:rPr>
        <w:t>2. Ciljevi projekta</w:t>
      </w:r>
    </w:p>
    <w:p w:rsidR="0085465B" w:rsidRDefault="009A7CEF" w:rsidP="00D41A5C">
      <w:pPr>
        <w:jc w:val="both"/>
      </w:pPr>
      <w:r w:rsidRPr="009A7CEF">
        <w:t xml:space="preserve">Projekt </w:t>
      </w:r>
      <w:r>
        <w:t>O</w:t>
      </w:r>
      <w:r w:rsidRPr="009A7CEF">
        <w:t>drživi gradovi je Mreža za planiranje programa URBACT koju čine deset europskih gradova</w:t>
      </w:r>
      <w:r w:rsidR="00F227CE">
        <w:t>.</w:t>
      </w:r>
      <w:r w:rsidRPr="009A7CEF">
        <w:t xml:space="preserve"> </w:t>
      </w:r>
      <w:r w:rsidR="0037417C" w:rsidRPr="0037417C">
        <w:t xml:space="preserve">Ovim se projektom želi razviti sljedeća generacija </w:t>
      </w:r>
      <w:r w:rsidR="006F4E23" w:rsidRPr="0037417C">
        <w:t xml:space="preserve">centara </w:t>
      </w:r>
      <w:r w:rsidR="006F4E23">
        <w:t xml:space="preserve">za </w:t>
      </w:r>
      <w:r w:rsidR="0037417C" w:rsidRPr="0037417C">
        <w:t>urban</w:t>
      </w:r>
      <w:r>
        <w:t>e</w:t>
      </w:r>
      <w:r w:rsidR="0037417C" w:rsidRPr="0037417C">
        <w:t xml:space="preserve"> resurs</w:t>
      </w:r>
      <w:r>
        <w:t>e</w:t>
      </w:r>
      <w:r w:rsidR="0037417C" w:rsidRPr="0037417C">
        <w:t>, tako da oni mogu poslužiti kao katalizatori lokaln</w:t>
      </w:r>
      <w:r w:rsidR="00D41A5C">
        <w:t xml:space="preserve">og </w:t>
      </w:r>
      <w:r w:rsidR="0037417C" w:rsidRPr="0037417C">
        <w:t>kružn</w:t>
      </w:r>
      <w:r w:rsidR="00D41A5C">
        <w:t>og</w:t>
      </w:r>
      <w:r w:rsidR="0037417C" w:rsidRPr="0037417C">
        <w:t xml:space="preserve"> </w:t>
      </w:r>
      <w:r w:rsidR="00D41A5C">
        <w:t>gospodarstva</w:t>
      </w:r>
      <w:r w:rsidR="0037417C" w:rsidRPr="0037417C">
        <w:t xml:space="preserve"> usvajanjem participativnog i integriranog pristupa. </w:t>
      </w:r>
      <w:r w:rsidR="00F227CE">
        <w:t>Centri za urbane resurse</w:t>
      </w:r>
      <w:r w:rsidR="0037417C" w:rsidRPr="0037417C">
        <w:t xml:space="preserve"> nastoje promicati pozitivne ekonomske, okolišne i socijalne utjecaje, </w:t>
      </w:r>
      <w:r w:rsidR="004A69EB">
        <w:t>naročito</w:t>
      </w:r>
      <w:r w:rsidR="0037417C" w:rsidRPr="0037417C">
        <w:t xml:space="preserve"> </w:t>
      </w:r>
      <w:r w:rsidR="004A69EB">
        <w:t>za</w:t>
      </w:r>
      <w:r w:rsidR="0037417C" w:rsidRPr="0037417C">
        <w:t xml:space="preserve"> kružno gospodarstvo. Mreža tako olakšava </w:t>
      </w:r>
      <w:r w:rsidR="004A69EB">
        <w:t>sprječavanje nastanka</w:t>
      </w:r>
      <w:r w:rsidR="0037417C" w:rsidRPr="0037417C">
        <w:t xml:space="preserve">, ponovnu upotrebu, popravak i recikliranje otpada. Centri </w:t>
      </w:r>
      <w:r w:rsidR="00921A1F" w:rsidRPr="00921A1F">
        <w:t xml:space="preserve">za urbane resurse </w:t>
      </w:r>
      <w:r w:rsidR="0037417C" w:rsidRPr="0037417C">
        <w:t xml:space="preserve">također </w:t>
      </w:r>
      <w:r w:rsidR="00921A1F">
        <w:t>djeluju</w:t>
      </w:r>
      <w:r w:rsidR="0037417C" w:rsidRPr="0037417C">
        <w:t xml:space="preserve"> kao </w:t>
      </w:r>
      <w:r w:rsidR="004A69EB">
        <w:t>mjesta</w:t>
      </w:r>
      <w:r w:rsidR="0037417C" w:rsidRPr="0037417C">
        <w:t xml:space="preserve"> povezivanja građana, novih </w:t>
      </w:r>
      <w:r w:rsidR="004A69EB">
        <w:t>biznisa</w:t>
      </w:r>
      <w:r w:rsidR="0037417C" w:rsidRPr="0037417C">
        <w:t>, istraživača i javnog sektora kako bi zajedn</w:t>
      </w:r>
      <w:r w:rsidR="004A69EB">
        <w:t xml:space="preserve">ički </w:t>
      </w:r>
      <w:r w:rsidR="0037417C" w:rsidRPr="0037417C">
        <w:t xml:space="preserve">stvorili nove načine za zatvaranje </w:t>
      </w:r>
      <w:r>
        <w:t>kruga</w:t>
      </w:r>
      <w:r w:rsidR="0037417C" w:rsidRPr="0037417C">
        <w:t xml:space="preserve"> resursa na lokalnoj razini. Okupljanjem zainteresiranih </w:t>
      </w:r>
      <w:r w:rsidR="004507B3">
        <w:t>dionika</w:t>
      </w:r>
      <w:r w:rsidR="0037417C" w:rsidRPr="0037417C">
        <w:t xml:space="preserve"> koji rade zajedno, cilj je promovirati promjenu vrijednosti i načina razmišljanja.</w:t>
      </w:r>
    </w:p>
    <w:p w:rsidR="00FE5F68" w:rsidRDefault="00FE5F68" w:rsidP="0085465B"/>
    <w:p w:rsidR="0085465B" w:rsidRDefault="006F4E23" w:rsidP="00A76810">
      <w:pPr>
        <w:jc w:val="both"/>
      </w:pPr>
      <w:r>
        <w:t xml:space="preserve">Gradovi partneri u </w:t>
      </w:r>
      <w:proofErr w:type="spellStart"/>
      <w:r>
        <w:t>projetu</w:t>
      </w:r>
      <w:proofErr w:type="spellEnd"/>
      <w:r>
        <w:t xml:space="preserve"> Održivi gradovi</w:t>
      </w:r>
      <w:r w:rsidR="00FE5F68" w:rsidRPr="00FE5F68">
        <w:t xml:space="preserve"> prepoznaju široku društvenu vrijednost koja se može </w:t>
      </w:r>
      <w:r w:rsidR="00D779E2">
        <w:t>postići</w:t>
      </w:r>
      <w:r w:rsidR="00FE5F68" w:rsidRPr="00FE5F68">
        <w:t xml:space="preserve"> iskorištavanjem njihovih lokalnih resursa i brzim </w:t>
      </w:r>
      <w:r w:rsidR="00A76810">
        <w:t>praćenjem ove promjene</w:t>
      </w:r>
      <w:r w:rsidR="00FE5F68" w:rsidRPr="00FE5F68">
        <w:t xml:space="preserve">. </w:t>
      </w:r>
      <w:r w:rsidR="000367D8">
        <w:t>P</w:t>
      </w:r>
      <w:r w:rsidR="00FE5F68" w:rsidRPr="00FE5F68">
        <w:t xml:space="preserve">artneri </w:t>
      </w:r>
      <w:r w:rsidR="00A76810">
        <w:t xml:space="preserve">u Mreži </w:t>
      </w:r>
      <w:r w:rsidR="00FE5F68" w:rsidRPr="00FE5F68">
        <w:t xml:space="preserve">su </w:t>
      </w:r>
      <w:r w:rsidR="000367D8">
        <w:t>sretni</w:t>
      </w:r>
      <w:r w:rsidR="00050372">
        <w:t xml:space="preserve"> </w:t>
      </w:r>
      <w:r w:rsidR="00FE5F68" w:rsidRPr="00FE5F68">
        <w:t xml:space="preserve">zbog različitih </w:t>
      </w:r>
      <w:r w:rsidR="00362C0A">
        <w:t>dobrobiti</w:t>
      </w:r>
      <w:r w:rsidR="00FE5F68" w:rsidRPr="00FE5F68">
        <w:t xml:space="preserve"> koje mogu </w:t>
      </w:r>
      <w:r w:rsidR="00050372">
        <w:t>steći</w:t>
      </w:r>
      <w:r w:rsidR="00FE5F68" w:rsidRPr="00FE5F68">
        <w:t xml:space="preserve"> </w:t>
      </w:r>
      <w:r w:rsidR="00050372">
        <w:t>svojim aktivnostima</w:t>
      </w:r>
      <w:r w:rsidR="00FE5F68" w:rsidRPr="00FE5F68">
        <w:t xml:space="preserve"> u ovoj </w:t>
      </w:r>
      <w:r w:rsidR="00050372">
        <w:t>M</w:t>
      </w:r>
      <w:r w:rsidR="000367D8">
        <w:t>reži, o</w:t>
      </w:r>
      <w:r w:rsidR="000367D8" w:rsidRPr="00FE5F68">
        <w:t xml:space="preserve">d povećanja jednakosti i otpornosti u društveno-ekonomskim sustavima do </w:t>
      </w:r>
      <w:proofErr w:type="spellStart"/>
      <w:r w:rsidR="000367D8">
        <w:t>stvranja</w:t>
      </w:r>
      <w:proofErr w:type="spellEnd"/>
      <w:r w:rsidR="000367D8">
        <w:t xml:space="preserve"> radnih mjesta i konkurentnosti.</w:t>
      </w:r>
      <w:r w:rsidR="00FE5F68" w:rsidRPr="00FE5F68">
        <w:t xml:space="preserve"> Iako je </w:t>
      </w:r>
      <w:r w:rsidR="00362C0A">
        <w:t>ž</w:t>
      </w:r>
      <w:r w:rsidR="00DF526E">
        <w:t>arište</w:t>
      </w:r>
      <w:r w:rsidR="00FE5F68" w:rsidRPr="00FE5F68">
        <w:t xml:space="preserve"> na ponovnoj upotrebi</w:t>
      </w:r>
      <w:r w:rsidR="0064609C">
        <w:t>,</w:t>
      </w:r>
      <w:r w:rsidR="00FE5F68" w:rsidRPr="00FE5F68">
        <w:t xml:space="preserve"> recikliranju </w:t>
      </w:r>
      <w:r w:rsidR="0064609C">
        <w:t xml:space="preserve">i </w:t>
      </w:r>
      <w:r w:rsidR="00FE5F68" w:rsidRPr="00FE5F68">
        <w:t>smanjenj</w:t>
      </w:r>
      <w:r w:rsidR="0064609C">
        <w:t>u</w:t>
      </w:r>
      <w:r w:rsidR="00FE5F68" w:rsidRPr="00FE5F68">
        <w:t xml:space="preserve"> </w:t>
      </w:r>
      <w:r w:rsidR="00050372">
        <w:t xml:space="preserve">nastanka </w:t>
      </w:r>
      <w:r w:rsidR="00FE5F68" w:rsidRPr="00FE5F68">
        <w:t xml:space="preserve">otpada, očite koristi uključuju posljedično smanjenje emisija ugljika, otpada i drugih oblika onečišćenja. Ova </w:t>
      </w:r>
      <w:r w:rsidR="00050372">
        <w:t>M</w:t>
      </w:r>
      <w:r w:rsidR="00FE5F68" w:rsidRPr="00FE5F68">
        <w:t xml:space="preserve">reža, međutim, </w:t>
      </w:r>
      <w:r w:rsidR="000E0F3E">
        <w:t>svjesna je</w:t>
      </w:r>
      <w:r w:rsidR="00FE5F68" w:rsidRPr="00FE5F68">
        <w:t xml:space="preserve"> da svojim građanima može donijeti i druge dalekosežne socijalne, ekonomske i ekološke koristi koje nadilaze izvornu namjeru smanjenja</w:t>
      </w:r>
      <w:r w:rsidR="00050372">
        <w:t xml:space="preserve"> nastanka</w:t>
      </w:r>
      <w:r w:rsidR="00FE5F68" w:rsidRPr="00FE5F68">
        <w:t>, ponovne upotrebe i recikliranja otpada.</w:t>
      </w:r>
    </w:p>
    <w:p w:rsidR="0085465B" w:rsidRDefault="0085465B" w:rsidP="0085465B"/>
    <w:p w:rsidR="00CC27F6" w:rsidRDefault="00CC27F6" w:rsidP="00F55D3B">
      <w:r w:rsidRPr="00CC27F6">
        <w:t>2.1. Komunikacijski ciljevi</w:t>
      </w:r>
    </w:p>
    <w:p w:rsidR="00F55D3B" w:rsidRDefault="00E52E8E" w:rsidP="00064138">
      <w:pPr>
        <w:jc w:val="both"/>
      </w:pPr>
      <w:r w:rsidRPr="00E52E8E">
        <w:lastRenderedPageBreak/>
        <w:t xml:space="preserve">Glavni je cilj komunikacije podijeliti znanje i primjere o prednostima </w:t>
      </w:r>
      <w:r w:rsidR="00064138">
        <w:t>sprječavanja nastanka otpada</w:t>
      </w:r>
      <w:r w:rsidRPr="00E52E8E">
        <w:t xml:space="preserve">, ponovne uporabe i popravka </w:t>
      </w:r>
      <w:r w:rsidR="00064138">
        <w:t xml:space="preserve">stvari za </w:t>
      </w:r>
      <w:r w:rsidRPr="00E52E8E">
        <w:t>građan</w:t>
      </w:r>
      <w:r w:rsidR="00064138">
        <w:t>e</w:t>
      </w:r>
      <w:r w:rsidRPr="00E52E8E">
        <w:t xml:space="preserve">, kao i uslugama koje pružaju </w:t>
      </w:r>
      <w:r w:rsidR="00775E93" w:rsidRPr="00E52E8E">
        <w:t xml:space="preserve">centri za </w:t>
      </w:r>
      <w:r w:rsidRPr="00E52E8E">
        <w:t>urban</w:t>
      </w:r>
      <w:r w:rsidR="00775E93">
        <w:t>e</w:t>
      </w:r>
      <w:r w:rsidRPr="00E52E8E">
        <w:t xml:space="preserve"> resurse širem segmentu građana. Da bi se to učinilo, utvrđuju se </w:t>
      </w:r>
      <w:r w:rsidR="00064138">
        <w:t>komunikacijski ciljevi</w:t>
      </w:r>
      <w:r w:rsidRPr="00E52E8E">
        <w:t>, kako na lokalnoj, tako i na razini</w:t>
      </w:r>
      <w:r w:rsidR="00064138">
        <w:t xml:space="preserve"> Mreže</w:t>
      </w:r>
      <w:r w:rsidRPr="00E52E8E">
        <w:t>.</w:t>
      </w:r>
    </w:p>
    <w:p w:rsidR="001661F4" w:rsidRDefault="00064138" w:rsidP="001661F4">
      <w:r>
        <w:t>Ciljevi n</w:t>
      </w:r>
      <w:r w:rsidR="001661F4">
        <w:t>a razini</w:t>
      </w:r>
      <w:r>
        <w:t xml:space="preserve"> Mreže</w:t>
      </w:r>
      <w:r w:rsidR="001661F4">
        <w:t>:</w:t>
      </w:r>
    </w:p>
    <w:p w:rsidR="001661F4" w:rsidRDefault="001661F4" w:rsidP="00F864C7">
      <w:pPr>
        <w:ind w:left="567"/>
        <w:jc w:val="both"/>
      </w:pPr>
      <w:r>
        <w:t xml:space="preserve">- </w:t>
      </w:r>
      <w:proofErr w:type="spellStart"/>
      <w:r w:rsidR="00F864C7">
        <w:t>Oigurati</w:t>
      </w:r>
      <w:proofErr w:type="spellEnd"/>
      <w:r>
        <w:t xml:space="preserve"> aktivno </w:t>
      </w:r>
      <w:r w:rsidR="003B5067">
        <w:t xml:space="preserve">međunarodno </w:t>
      </w:r>
      <w:r>
        <w:t>učenje</w:t>
      </w:r>
      <w:r w:rsidR="00F864C7">
        <w:t>/razmjenu znanja</w:t>
      </w:r>
      <w:r>
        <w:t xml:space="preserve"> i izgradnju kapaciteta partnera </w:t>
      </w:r>
      <w:r w:rsidR="0064609C">
        <w:t xml:space="preserve">pojedinačno </w:t>
      </w:r>
      <w:r>
        <w:t xml:space="preserve">i </w:t>
      </w:r>
      <w:r w:rsidR="0064609C">
        <w:t>iz</w:t>
      </w:r>
      <w:r>
        <w:t>među njih.</w:t>
      </w:r>
    </w:p>
    <w:p w:rsidR="001661F4" w:rsidRDefault="001661F4" w:rsidP="00F864C7">
      <w:pPr>
        <w:ind w:left="567"/>
        <w:jc w:val="both"/>
      </w:pPr>
      <w:r>
        <w:t xml:space="preserve">- Stvoriti zajednicu učenja i </w:t>
      </w:r>
      <w:r w:rsidR="00F864C7">
        <w:t xml:space="preserve">razmjene </w:t>
      </w:r>
      <w:r>
        <w:t xml:space="preserve">prakse oko </w:t>
      </w:r>
      <w:r w:rsidR="00F864C7">
        <w:t xml:space="preserve">teme </w:t>
      </w:r>
      <w:r w:rsidR="001477F8" w:rsidRPr="001477F8">
        <w:t>Centar</w:t>
      </w:r>
      <w:r w:rsidR="001477F8">
        <w:t>a</w:t>
      </w:r>
      <w:r w:rsidR="001477F8" w:rsidRPr="001477F8">
        <w:t xml:space="preserve"> za urbane resurse </w:t>
      </w:r>
      <w:r>
        <w:t>i olakšati praktičn</w:t>
      </w:r>
      <w:r w:rsidR="00F864C7">
        <w:t>u</w:t>
      </w:r>
      <w:r>
        <w:t xml:space="preserve"> </w:t>
      </w:r>
      <w:r w:rsidR="00F864C7">
        <w:t xml:space="preserve">provedbu u stremljenju ka </w:t>
      </w:r>
      <w:r w:rsidR="001477F8">
        <w:t>kružno</w:t>
      </w:r>
      <w:r w:rsidR="00F864C7">
        <w:t>m gospodarstvu</w:t>
      </w:r>
      <w:r>
        <w:t xml:space="preserve"> gradova.</w:t>
      </w:r>
    </w:p>
    <w:p w:rsidR="008C4668" w:rsidRDefault="001661F4" w:rsidP="00336E42">
      <w:pPr>
        <w:ind w:left="567"/>
      </w:pPr>
      <w:r>
        <w:t xml:space="preserve">- Obavijestiti druge nacionalne i regionalne vlasti o važnosti </w:t>
      </w:r>
      <w:r w:rsidR="008C4668" w:rsidRPr="008C4668">
        <w:t>Cent</w:t>
      </w:r>
      <w:r w:rsidR="00DF526E">
        <w:t>ara</w:t>
      </w:r>
      <w:r w:rsidR="008C4668" w:rsidRPr="008C4668">
        <w:t xml:space="preserve"> za urbane resurse</w:t>
      </w:r>
    </w:p>
    <w:p w:rsidR="00F55D3B" w:rsidRPr="00F55D3B" w:rsidRDefault="001661F4" w:rsidP="00336E42">
      <w:pPr>
        <w:ind w:left="567"/>
      </w:pPr>
      <w:r>
        <w:t xml:space="preserve">- </w:t>
      </w:r>
      <w:r w:rsidR="00F864C7">
        <w:t>Osigurati p</w:t>
      </w:r>
      <w:r w:rsidR="00DF526E">
        <w:t>ovoljno p</w:t>
      </w:r>
      <w:r>
        <w:t xml:space="preserve">ozicioniranje </w:t>
      </w:r>
      <w:r w:rsidR="002673CA" w:rsidRPr="002673CA">
        <w:t>Integr</w:t>
      </w:r>
      <w:r w:rsidR="00F864C7">
        <w:t>acijskog</w:t>
      </w:r>
      <w:r w:rsidR="002673CA" w:rsidRPr="002673CA">
        <w:t xml:space="preserve"> </w:t>
      </w:r>
      <w:proofErr w:type="spellStart"/>
      <w:r w:rsidR="002673CA" w:rsidRPr="002673CA">
        <w:t>akcijski</w:t>
      </w:r>
      <w:r w:rsidR="002673CA">
        <w:t>skog</w:t>
      </w:r>
      <w:proofErr w:type="spellEnd"/>
      <w:r w:rsidR="002673CA" w:rsidRPr="002673CA">
        <w:t xml:space="preserve"> plan</w:t>
      </w:r>
      <w:r w:rsidR="002673CA">
        <w:t>a</w:t>
      </w:r>
      <w:r>
        <w:t xml:space="preserve"> za financiranje</w:t>
      </w:r>
    </w:p>
    <w:p w:rsidR="00F55D3B" w:rsidRDefault="00F55D3B" w:rsidP="00F55D3B"/>
    <w:p w:rsidR="000E2FB5" w:rsidRDefault="0085791D" w:rsidP="00F55D3B">
      <w:r>
        <w:t>Ciljevi n</w:t>
      </w:r>
      <w:r w:rsidR="000E2FB5" w:rsidRPr="000E2FB5">
        <w:t>a lokalnoj razini:</w:t>
      </w:r>
    </w:p>
    <w:p w:rsidR="000E2FB5" w:rsidRDefault="000E2FB5" w:rsidP="00311B91">
      <w:pPr>
        <w:ind w:left="567"/>
      </w:pPr>
      <w:r>
        <w:t xml:space="preserve">- </w:t>
      </w:r>
      <w:r w:rsidR="0085791D">
        <w:t xml:space="preserve">Napraviti izbor </w:t>
      </w:r>
      <w:r>
        <w:t>komunikacijsk</w:t>
      </w:r>
      <w:r w:rsidR="0085791D">
        <w:t>ih</w:t>
      </w:r>
      <w:r>
        <w:t xml:space="preserve"> potreb</w:t>
      </w:r>
      <w:r w:rsidR="0085791D">
        <w:t>a</w:t>
      </w:r>
      <w:r>
        <w:t xml:space="preserve"> lokalnih partnera</w:t>
      </w:r>
    </w:p>
    <w:p w:rsidR="000E2FB5" w:rsidRDefault="000E2FB5" w:rsidP="00D9615E">
      <w:pPr>
        <w:ind w:left="567"/>
        <w:jc w:val="both"/>
      </w:pPr>
      <w:r>
        <w:t xml:space="preserve">- Olakšati stvaranje zajednice i kulture oko </w:t>
      </w:r>
      <w:r w:rsidR="00EA6F49" w:rsidRPr="00EA6F49">
        <w:t>Cent</w:t>
      </w:r>
      <w:r w:rsidR="00EA6F49">
        <w:t>ra</w:t>
      </w:r>
      <w:r w:rsidR="00EA6F49" w:rsidRPr="00EA6F49">
        <w:t xml:space="preserve"> za urbane resurse </w:t>
      </w:r>
      <w:r>
        <w:t xml:space="preserve">radi </w:t>
      </w:r>
      <w:r w:rsidR="0085791D">
        <w:t>poticanja građana</w:t>
      </w:r>
      <w:r>
        <w:t xml:space="preserve"> da koriste resurse koji su već dostupni</w:t>
      </w:r>
    </w:p>
    <w:p w:rsidR="000E2FB5" w:rsidRDefault="000E2FB5" w:rsidP="00A5319E">
      <w:pPr>
        <w:ind w:left="567"/>
        <w:jc w:val="both"/>
      </w:pPr>
      <w:r>
        <w:t xml:space="preserve">- Olakšati prijenos </w:t>
      </w:r>
      <w:r w:rsidR="00E72F5C">
        <w:t>međunarodnog</w:t>
      </w:r>
      <w:r>
        <w:t xml:space="preserve"> učenja </w:t>
      </w:r>
      <w:r w:rsidR="00EA6F49">
        <w:t>na</w:t>
      </w:r>
      <w:r>
        <w:t xml:space="preserve"> lokalna učenja i izgradnju kapaciteta </w:t>
      </w:r>
      <w:r w:rsidR="00A5319E">
        <w:t xml:space="preserve">koji se mogu postići </w:t>
      </w:r>
      <w:r>
        <w:t xml:space="preserve">iz </w:t>
      </w:r>
      <w:r w:rsidR="00EA6F49" w:rsidRPr="00EA6F49">
        <w:t>Centar</w:t>
      </w:r>
      <w:r w:rsidR="00EA6F49">
        <w:t>a</w:t>
      </w:r>
      <w:r w:rsidR="00EA6F49" w:rsidRPr="00EA6F49">
        <w:t xml:space="preserve"> za urbane resurse </w:t>
      </w:r>
      <w:r>
        <w:t xml:space="preserve">i </w:t>
      </w:r>
      <w:r w:rsidR="0034426C" w:rsidRPr="0034426C">
        <w:t>URBACT lokaln</w:t>
      </w:r>
      <w:r w:rsidR="0034426C">
        <w:t>e</w:t>
      </w:r>
      <w:r w:rsidR="0034426C" w:rsidRPr="0034426C">
        <w:t xml:space="preserve"> radn</w:t>
      </w:r>
      <w:r w:rsidR="0034426C">
        <w:t>e</w:t>
      </w:r>
      <w:r w:rsidR="0034426C" w:rsidRPr="0034426C">
        <w:t xml:space="preserve"> skupin</w:t>
      </w:r>
      <w:r w:rsidR="0034426C">
        <w:t>e</w:t>
      </w:r>
      <w:r>
        <w:t xml:space="preserve"> (npr. </w:t>
      </w:r>
      <w:proofErr w:type="spellStart"/>
      <w:r w:rsidRPr="008C0F7F">
        <w:rPr>
          <w:i/>
        </w:rPr>
        <w:t>Brendiranje</w:t>
      </w:r>
      <w:proofErr w:type="spellEnd"/>
      <w:r w:rsidRPr="008C0F7F">
        <w:rPr>
          <w:i/>
        </w:rPr>
        <w:t xml:space="preserve"> grada, poduzetništvo, otvaranje novih radnih mjesta, razvoj </w:t>
      </w:r>
      <w:proofErr w:type="spellStart"/>
      <w:r w:rsidRPr="008C0F7F">
        <w:rPr>
          <w:i/>
        </w:rPr>
        <w:t>ekoindustrije</w:t>
      </w:r>
      <w:proofErr w:type="spellEnd"/>
      <w:r w:rsidRPr="008C0F7F">
        <w:rPr>
          <w:i/>
        </w:rPr>
        <w:t xml:space="preserve"> i eko-društava, is</w:t>
      </w:r>
      <w:r w:rsidR="00A5319E">
        <w:rPr>
          <w:i/>
        </w:rPr>
        <w:t>pitivanje</w:t>
      </w:r>
      <w:r w:rsidRPr="008C0F7F">
        <w:rPr>
          <w:i/>
        </w:rPr>
        <w:t xml:space="preserve"> uloge </w:t>
      </w:r>
      <w:r w:rsidR="00A5319E">
        <w:rPr>
          <w:i/>
        </w:rPr>
        <w:t>grada/</w:t>
      </w:r>
      <w:r w:rsidRPr="008C0F7F">
        <w:rPr>
          <w:i/>
        </w:rPr>
        <w:t xml:space="preserve">općine, sinergija između postojećih </w:t>
      </w:r>
      <w:r w:rsidR="00A5319E">
        <w:rPr>
          <w:i/>
        </w:rPr>
        <w:t xml:space="preserve">Centara </w:t>
      </w:r>
      <w:r w:rsidRPr="008C0F7F">
        <w:rPr>
          <w:i/>
        </w:rPr>
        <w:t xml:space="preserve">urbanih resursa, praktičnosti i funkcionalnosti za </w:t>
      </w:r>
      <w:r w:rsidR="00EA6F49" w:rsidRPr="00EA6F49">
        <w:rPr>
          <w:i/>
        </w:rPr>
        <w:t>Cent</w:t>
      </w:r>
      <w:r w:rsidR="00EA6F49">
        <w:rPr>
          <w:i/>
        </w:rPr>
        <w:t>re</w:t>
      </w:r>
      <w:r w:rsidR="00EA6F49" w:rsidRPr="00EA6F49">
        <w:rPr>
          <w:i/>
        </w:rPr>
        <w:t xml:space="preserve"> za urbane resurse</w:t>
      </w:r>
      <w:r w:rsidRPr="008C0F7F">
        <w:rPr>
          <w:i/>
        </w:rPr>
        <w:t xml:space="preserve">, poput poslovnih modela i </w:t>
      </w:r>
      <w:proofErr w:type="spellStart"/>
      <w:r w:rsidRPr="008C0F7F">
        <w:rPr>
          <w:i/>
        </w:rPr>
        <w:t>brendiranja</w:t>
      </w:r>
      <w:proofErr w:type="spellEnd"/>
      <w:r w:rsidRPr="008C0F7F">
        <w:rPr>
          <w:i/>
        </w:rPr>
        <w:t>, uloge visokog obrazovanja i istraživačke zajednice</w:t>
      </w:r>
      <w:r>
        <w:t>)</w:t>
      </w:r>
    </w:p>
    <w:p w:rsidR="000E2FB5" w:rsidRDefault="000E2FB5" w:rsidP="00CD3326">
      <w:pPr>
        <w:ind w:left="567"/>
        <w:jc w:val="both"/>
      </w:pPr>
      <w:r>
        <w:t>- Potakn</w:t>
      </w:r>
      <w:r w:rsidR="00A27109">
        <w:t>uti</w:t>
      </w:r>
      <w:r>
        <w:t xml:space="preserve"> aktivno sudjelovanje, povezujući dionike i njihove ideje u </w:t>
      </w:r>
      <w:r w:rsidR="0034426C" w:rsidRPr="0034426C">
        <w:t>URBACT lokaln</w:t>
      </w:r>
      <w:r w:rsidR="0034426C">
        <w:t>oj</w:t>
      </w:r>
      <w:r w:rsidR="0034426C" w:rsidRPr="0034426C">
        <w:t xml:space="preserve"> radn</w:t>
      </w:r>
      <w:r w:rsidR="0034426C">
        <w:t>oj</w:t>
      </w:r>
      <w:r w:rsidR="0034426C" w:rsidRPr="0034426C">
        <w:t xml:space="preserve"> skupin</w:t>
      </w:r>
      <w:r w:rsidR="0034426C">
        <w:t>i</w:t>
      </w:r>
    </w:p>
    <w:p w:rsidR="00F55D3B" w:rsidRDefault="000E2FB5" w:rsidP="00CD3326">
      <w:pPr>
        <w:ind w:left="567"/>
        <w:jc w:val="both"/>
      </w:pPr>
      <w:r>
        <w:t>- Predstavit</w:t>
      </w:r>
      <w:r w:rsidR="00A27109">
        <w:t>i</w:t>
      </w:r>
      <w:r>
        <w:t xml:space="preserve"> lokalne dionike kao lokalne heroje i </w:t>
      </w:r>
      <w:r w:rsidR="00A27109">
        <w:t>podržati</w:t>
      </w:r>
      <w:r>
        <w:t xml:space="preserve"> </w:t>
      </w:r>
      <w:r w:rsidR="00CD3326">
        <w:t>ih/proslaviti ih</w:t>
      </w:r>
      <w:r>
        <w:t xml:space="preserve"> koriste</w:t>
      </w:r>
      <w:r w:rsidR="00CD3326">
        <w:t>ći</w:t>
      </w:r>
      <w:r>
        <w:t xml:space="preserve"> različite komunikacijske alate i kanale.</w:t>
      </w:r>
    </w:p>
    <w:p w:rsidR="00F55D3B" w:rsidRPr="00F55D3B" w:rsidRDefault="00F55D3B" w:rsidP="00F55D3B"/>
    <w:p w:rsidR="002D2B9D" w:rsidRPr="00F45744" w:rsidRDefault="002D4CF4" w:rsidP="002D0598">
      <w:pPr>
        <w:rPr>
          <w:b/>
        </w:rPr>
      </w:pPr>
      <w:r>
        <w:rPr>
          <w:b/>
        </w:rPr>
        <w:t>3. Cilj</w:t>
      </w:r>
      <w:r w:rsidR="00D9615E">
        <w:rPr>
          <w:b/>
        </w:rPr>
        <w:t>a</w:t>
      </w:r>
      <w:r w:rsidR="002D2B9D" w:rsidRPr="00F45744">
        <w:rPr>
          <w:b/>
        </w:rPr>
        <w:t>na skupina</w:t>
      </w:r>
    </w:p>
    <w:p w:rsidR="00CC27F6" w:rsidRDefault="002D2B9D" w:rsidP="00135A97">
      <w:pPr>
        <w:jc w:val="both"/>
        <w:rPr>
          <w:b/>
          <w:bCs/>
        </w:rPr>
      </w:pPr>
      <w:r w:rsidRPr="002D2B9D">
        <w:t>Cilj</w:t>
      </w:r>
      <w:r w:rsidR="00D9615E">
        <w:t>a</w:t>
      </w:r>
      <w:r w:rsidRPr="002D2B9D">
        <w:t xml:space="preserve">na </w:t>
      </w:r>
      <w:r>
        <w:t>skupina</w:t>
      </w:r>
      <w:r w:rsidRPr="002D2B9D">
        <w:t xml:space="preserve"> može se razlikovati na lokalnoj i </w:t>
      </w:r>
      <w:r w:rsidR="002D4CF4">
        <w:t xml:space="preserve">na </w:t>
      </w:r>
      <w:r w:rsidRPr="002D2B9D">
        <w:t>razini</w:t>
      </w:r>
      <w:r w:rsidR="002D4CF4">
        <w:t xml:space="preserve"> Mreže</w:t>
      </w:r>
      <w:r w:rsidRPr="002D2B9D">
        <w:t xml:space="preserve">. </w:t>
      </w:r>
      <w:r w:rsidR="00B65C3C">
        <w:t>G</w:t>
      </w:r>
      <w:r w:rsidR="00B65C3C" w:rsidRPr="002D2B9D">
        <w:t xml:space="preserve">radovi </w:t>
      </w:r>
      <w:r w:rsidR="00B65C3C">
        <w:t>p</w:t>
      </w:r>
      <w:r w:rsidRPr="002D2B9D">
        <w:t>artner</w:t>
      </w:r>
      <w:r w:rsidR="00B65C3C">
        <w:t>i</w:t>
      </w:r>
      <w:r w:rsidRPr="002D2B9D">
        <w:t xml:space="preserve"> imaju priliku dodati više cilj</w:t>
      </w:r>
      <w:r w:rsidR="00792B7A">
        <w:t>a</w:t>
      </w:r>
      <w:r w:rsidRPr="002D2B9D">
        <w:t xml:space="preserve">nih skupina </w:t>
      </w:r>
      <w:r w:rsidR="002D4CF4">
        <w:t>te ih razraditi</w:t>
      </w:r>
      <w:r w:rsidRPr="002D2B9D">
        <w:t xml:space="preserve">, što je u smislu komunikacije jedna od glavnih tema za razmjenu </w:t>
      </w:r>
      <w:r w:rsidR="00F8127D">
        <w:t>iz</w:t>
      </w:r>
      <w:r w:rsidRPr="002D2B9D">
        <w:t xml:space="preserve">među partnera. Alat za to je </w:t>
      </w:r>
      <w:r w:rsidR="002D4CF4">
        <w:t>web</w:t>
      </w:r>
      <w:r w:rsidRPr="002D2B9D">
        <w:t xml:space="preserve"> dionika, što će biti objašnjeno u </w:t>
      </w:r>
      <w:r w:rsidR="002D4CF4">
        <w:t xml:space="preserve">poglavlju o </w:t>
      </w:r>
      <w:r w:rsidRPr="002D2B9D">
        <w:t>alat</w:t>
      </w:r>
      <w:r w:rsidR="002D4CF4">
        <w:t>ima</w:t>
      </w:r>
      <w:r w:rsidRPr="002D2B9D">
        <w:t xml:space="preserve">. </w:t>
      </w:r>
      <w:r w:rsidR="002D4CF4">
        <w:t>Niže</w:t>
      </w:r>
      <w:r w:rsidRPr="002D2B9D">
        <w:t xml:space="preserve"> je </w:t>
      </w:r>
      <w:r w:rsidR="002D4CF4">
        <w:t>dan</w:t>
      </w:r>
      <w:r w:rsidRPr="002D2B9D">
        <w:t xml:space="preserve"> pregled koji pokazuje </w:t>
      </w:r>
      <w:r w:rsidR="002D4CF4">
        <w:t xml:space="preserve">na </w:t>
      </w:r>
      <w:r w:rsidR="00856867">
        <w:t>k</w:t>
      </w:r>
      <w:r w:rsidRPr="002D2B9D">
        <w:t>oj</w:t>
      </w:r>
      <w:r w:rsidR="002D4CF4">
        <w:t>im</w:t>
      </w:r>
      <w:r w:rsidRPr="002D2B9D">
        <w:t xml:space="preserve"> </w:t>
      </w:r>
      <w:r w:rsidR="002D4CF4">
        <w:t>cilja</w:t>
      </w:r>
      <w:r w:rsidR="00856867">
        <w:t>n</w:t>
      </w:r>
      <w:r w:rsidR="002D4CF4">
        <w:t>im</w:t>
      </w:r>
      <w:r w:rsidR="00856867">
        <w:t xml:space="preserve"> skupin</w:t>
      </w:r>
      <w:r w:rsidR="002D4CF4">
        <w:t>ama</w:t>
      </w:r>
      <w:r w:rsidR="00856867">
        <w:t xml:space="preserve"> mo</w:t>
      </w:r>
      <w:r w:rsidR="002D4CF4">
        <w:t>že</w:t>
      </w:r>
      <w:r w:rsidR="00856867">
        <w:t xml:space="preserve"> biti sr</w:t>
      </w:r>
      <w:r w:rsidR="002D4CF4">
        <w:t>edište</w:t>
      </w:r>
      <w:r w:rsidR="00856867">
        <w:t xml:space="preserve"> </w:t>
      </w:r>
      <w:r w:rsidR="002D4CF4">
        <w:t xml:space="preserve">pozornosti </w:t>
      </w:r>
      <w:r w:rsidRPr="002D2B9D">
        <w:t>kako bi se postigli postavljeni ciljevi.</w:t>
      </w:r>
    </w:p>
    <w:p w:rsidR="00CC27F6" w:rsidRDefault="00CC27F6" w:rsidP="002D0598">
      <w:pPr>
        <w:rPr>
          <w:b/>
          <w:bCs/>
        </w:rPr>
      </w:pPr>
    </w:p>
    <w:p w:rsidR="002D0598" w:rsidRDefault="002D4CF4" w:rsidP="002D0598">
      <w:pPr>
        <w:rPr>
          <w:b/>
          <w:bCs/>
        </w:rPr>
      </w:pPr>
      <w:r>
        <w:rPr>
          <w:b/>
          <w:bCs/>
        </w:rPr>
        <w:t>Razina M</w:t>
      </w:r>
      <w:r w:rsidR="00E87040" w:rsidRPr="00E87040">
        <w:rPr>
          <w:b/>
          <w:bCs/>
        </w:rPr>
        <w:t>reže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7"/>
        <w:gridCol w:w="2861"/>
        <w:gridCol w:w="2824"/>
      </w:tblGrid>
      <w:tr w:rsidR="00DA72F8" w:rsidTr="002D4CF4">
        <w:tc>
          <w:tcPr>
            <w:tcW w:w="3495" w:type="dxa"/>
          </w:tcPr>
          <w:p w:rsidR="00874B3D" w:rsidRPr="0009023F" w:rsidRDefault="002D4CF4" w:rsidP="00E870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Cilja</w:t>
            </w:r>
            <w:r w:rsidR="00E87040" w:rsidRPr="0009023F">
              <w:rPr>
                <w:b/>
                <w:szCs w:val="24"/>
              </w:rPr>
              <w:t>na skupina</w:t>
            </w:r>
          </w:p>
        </w:tc>
        <w:tc>
          <w:tcPr>
            <w:tcW w:w="2673" w:type="dxa"/>
          </w:tcPr>
          <w:p w:rsidR="00874B3D" w:rsidRPr="0009023F" w:rsidRDefault="00E87040" w:rsidP="002D0598">
            <w:pPr>
              <w:rPr>
                <w:b/>
                <w:szCs w:val="24"/>
              </w:rPr>
            </w:pPr>
            <w:r w:rsidRPr="0009023F">
              <w:rPr>
                <w:b/>
                <w:szCs w:val="24"/>
              </w:rPr>
              <w:t>Cilj</w:t>
            </w:r>
          </w:p>
        </w:tc>
        <w:tc>
          <w:tcPr>
            <w:tcW w:w="2894" w:type="dxa"/>
          </w:tcPr>
          <w:p w:rsidR="00874B3D" w:rsidRPr="0009023F" w:rsidRDefault="00E87040" w:rsidP="002D0598">
            <w:pPr>
              <w:rPr>
                <w:b/>
                <w:szCs w:val="24"/>
              </w:rPr>
            </w:pPr>
            <w:r w:rsidRPr="0009023F">
              <w:rPr>
                <w:b/>
                <w:szCs w:val="24"/>
              </w:rPr>
              <w:t>Alat</w:t>
            </w:r>
          </w:p>
        </w:tc>
      </w:tr>
      <w:tr w:rsidR="00DA72F8" w:rsidTr="00874B3D">
        <w:trPr>
          <w:trHeight w:val="110"/>
        </w:trPr>
        <w:tc>
          <w:tcPr>
            <w:tcW w:w="0" w:type="auto"/>
          </w:tcPr>
          <w:p w:rsidR="00874B3D" w:rsidRPr="00D6573B" w:rsidRDefault="002D4CF4" w:rsidP="002D4C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</w:t>
            </w:r>
            <w:r w:rsidR="009D312E" w:rsidRPr="00D6573B">
              <w:rPr>
                <w:rFonts w:ascii="Times New Roman" w:hAnsi="Times New Roman" w:cs="Times New Roman"/>
                <w:sz w:val="22"/>
                <w:szCs w:val="22"/>
              </w:rPr>
              <w:t>artneri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 Mreži</w:t>
            </w:r>
          </w:p>
        </w:tc>
        <w:tc>
          <w:tcPr>
            <w:tcW w:w="0" w:type="auto"/>
          </w:tcPr>
          <w:p w:rsidR="00874B3D" w:rsidRPr="00D6573B" w:rsidRDefault="00B60BD5" w:rsidP="00B60B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D312E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ktivno </w:t>
            </w:r>
            <w:r w:rsidR="003B5067" w:rsidRPr="00D6573B">
              <w:rPr>
                <w:rFonts w:ascii="Times New Roman" w:hAnsi="Times New Roman" w:cs="Times New Roman"/>
                <w:sz w:val="22"/>
                <w:szCs w:val="22"/>
              </w:rPr>
              <w:t>međunarodno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učenje i izgradnja</w:t>
            </w:r>
            <w:r w:rsidR="009D312E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kapaciteta partnera </w:t>
            </w:r>
            <w:r w:rsidR="00C27C71">
              <w:rPr>
                <w:rFonts w:ascii="Times New Roman" w:hAnsi="Times New Roman" w:cs="Times New Roman"/>
                <w:sz w:val="22"/>
                <w:szCs w:val="22"/>
              </w:rPr>
              <w:t xml:space="preserve">pojedinačno </w:t>
            </w:r>
            <w:r w:rsidR="009D312E" w:rsidRPr="00D6573B">
              <w:rPr>
                <w:rFonts w:ascii="Times New Roman" w:hAnsi="Times New Roman" w:cs="Times New Roman"/>
                <w:sz w:val="22"/>
                <w:szCs w:val="22"/>
              </w:rPr>
              <w:t>i između njih.</w:t>
            </w:r>
          </w:p>
        </w:tc>
        <w:tc>
          <w:tcPr>
            <w:tcW w:w="0" w:type="auto"/>
          </w:tcPr>
          <w:p w:rsidR="00874B3D" w:rsidRPr="00D6573B" w:rsidRDefault="008F55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Mrežni bilten</w:t>
            </w:r>
          </w:p>
        </w:tc>
      </w:tr>
      <w:tr w:rsidR="00DA72F8" w:rsidTr="00874B3D">
        <w:trPr>
          <w:trHeight w:val="377"/>
        </w:trPr>
        <w:tc>
          <w:tcPr>
            <w:tcW w:w="0" w:type="auto"/>
          </w:tcPr>
          <w:p w:rsidR="00AF069E" w:rsidRPr="00D6573B" w:rsidRDefault="00AF069E" w:rsidP="00AF06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Šira mreža</w:t>
            </w:r>
          </w:p>
          <w:p w:rsidR="00874B3D" w:rsidRPr="00D6573B" w:rsidRDefault="00AF069E" w:rsidP="00DF74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(URBACT mreža, UAEU</w:t>
            </w:r>
            <w:r w:rsidR="00DF749D">
              <w:rPr>
                <w:rFonts w:ascii="Times New Roman" w:hAnsi="Times New Roman" w:cs="Times New Roman"/>
                <w:sz w:val="22"/>
                <w:szCs w:val="22"/>
              </w:rPr>
              <w:t xml:space="preserve"> mreža </w:t>
            </w:r>
            <w:r w:rsidR="00E0074D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(Urbana </w:t>
            </w:r>
            <w:proofErr w:type="spellStart"/>
            <w:r w:rsidR="00E0074D" w:rsidRPr="00D6573B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  <w:proofErr w:type="spellEnd"/>
            <w:r w:rsidR="00E0074D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za Europsku uniju)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, sekundarn</w:t>
            </w:r>
            <w:r w:rsidR="00AF1D1A" w:rsidRPr="00D6573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1D1A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Mreža za akcijsko planiranje 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i drugi zainteresirani dionici)</w:t>
            </w:r>
          </w:p>
        </w:tc>
        <w:tc>
          <w:tcPr>
            <w:tcW w:w="0" w:type="auto"/>
          </w:tcPr>
          <w:p w:rsidR="00874B3D" w:rsidRPr="00D6573B" w:rsidRDefault="008840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Stvoriti zajednicu učenja i </w:t>
            </w:r>
            <w:r w:rsidR="00DF749D">
              <w:rPr>
                <w:rFonts w:ascii="Times New Roman" w:hAnsi="Times New Roman" w:cs="Times New Roman"/>
                <w:sz w:val="22"/>
                <w:szCs w:val="22"/>
              </w:rPr>
              <w:t xml:space="preserve">razmjene 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prakse oko </w:t>
            </w:r>
            <w:r w:rsidR="002F56EE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Centara za urbane resurse 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i prikazati uspješne primjere.</w:t>
            </w:r>
          </w:p>
        </w:tc>
        <w:tc>
          <w:tcPr>
            <w:tcW w:w="0" w:type="auto"/>
          </w:tcPr>
          <w:p w:rsidR="00884059" w:rsidRPr="00D6573B" w:rsidRDefault="00884059" w:rsidP="008840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</w:p>
          <w:p w:rsidR="00874B3D" w:rsidRPr="00D6573B" w:rsidRDefault="00884059" w:rsidP="00DA72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YouTube kanal predstavit će </w:t>
            </w:r>
            <w:r w:rsidR="00DA72F8">
              <w:rPr>
                <w:rFonts w:ascii="Times New Roman" w:hAnsi="Times New Roman" w:cs="Times New Roman"/>
                <w:sz w:val="22"/>
                <w:szCs w:val="22"/>
              </w:rPr>
              <w:t xml:space="preserve">poticajne </w:t>
            </w:r>
            <w:r w:rsidR="002F56EE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Centre za urbane resurse </w:t>
            </w: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592DA1" w:rsidRPr="00D6573B">
              <w:rPr>
                <w:rFonts w:ascii="Times New Roman" w:hAnsi="Times New Roman" w:cs="Times New Roman"/>
                <w:sz w:val="22"/>
                <w:szCs w:val="22"/>
              </w:rPr>
              <w:t>URBACT lokalne radne skupine</w:t>
            </w:r>
          </w:p>
        </w:tc>
      </w:tr>
      <w:tr w:rsidR="00DA72F8" w:rsidTr="00874B3D">
        <w:trPr>
          <w:trHeight w:val="648"/>
        </w:trPr>
        <w:tc>
          <w:tcPr>
            <w:tcW w:w="0" w:type="auto"/>
          </w:tcPr>
          <w:p w:rsidR="00874B3D" w:rsidRPr="00D6573B" w:rsidRDefault="008840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EU, nacionalne i regionalne vlasti</w:t>
            </w:r>
          </w:p>
        </w:tc>
        <w:tc>
          <w:tcPr>
            <w:tcW w:w="0" w:type="auto"/>
          </w:tcPr>
          <w:p w:rsidR="00874B3D" w:rsidRPr="00D6573B" w:rsidRDefault="00C62AF2" w:rsidP="008860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Obavijestiti druge nacionalne i regionalne vlasti o važnosti </w:t>
            </w:r>
            <w:r w:rsidR="00273595" w:rsidRPr="00D6573B">
              <w:rPr>
                <w:rFonts w:ascii="Times New Roman" w:hAnsi="Times New Roman" w:cs="Times New Roman"/>
                <w:sz w:val="22"/>
                <w:szCs w:val="22"/>
              </w:rPr>
              <w:t>Cent</w:t>
            </w:r>
            <w:r w:rsidR="00886045" w:rsidRPr="00D6573B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r w:rsidR="00273595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za urbane resurse</w:t>
            </w:r>
          </w:p>
        </w:tc>
        <w:tc>
          <w:tcPr>
            <w:tcW w:w="0" w:type="auto"/>
          </w:tcPr>
          <w:p w:rsidR="00874B3D" w:rsidRPr="00D6573B" w:rsidRDefault="00C66C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Bilten i YouTube kanal s </w:t>
            </w:r>
            <w:proofErr w:type="spellStart"/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nadahnjujućim</w:t>
            </w:r>
            <w:proofErr w:type="spellEnd"/>
            <w:r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primjerima </w:t>
            </w:r>
            <w:r w:rsidR="00273595" w:rsidRPr="00D6573B">
              <w:rPr>
                <w:rFonts w:ascii="Times New Roman" w:hAnsi="Times New Roman" w:cs="Times New Roman"/>
                <w:sz w:val="22"/>
                <w:szCs w:val="22"/>
              </w:rPr>
              <w:t>Centara za urbane resurse</w:t>
            </w:r>
          </w:p>
        </w:tc>
      </w:tr>
      <w:tr w:rsidR="00DA72F8" w:rsidTr="00874B3D">
        <w:trPr>
          <w:trHeight w:val="379"/>
        </w:trPr>
        <w:tc>
          <w:tcPr>
            <w:tcW w:w="0" w:type="auto"/>
          </w:tcPr>
          <w:p w:rsidR="00874B3D" w:rsidRPr="00D6573B" w:rsidRDefault="0003278E" w:rsidP="000327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Dionici</w:t>
            </w:r>
            <w:r w:rsidR="00C66C5C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koj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C66C5C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financiraju</w:t>
            </w:r>
          </w:p>
        </w:tc>
        <w:tc>
          <w:tcPr>
            <w:tcW w:w="0" w:type="auto"/>
          </w:tcPr>
          <w:p w:rsidR="00874B3D" w:rsidRPr="00D6573B" w:rsidRDefault="00B60BD5" w:rsidP="00F51C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Povoljno pozicioniranje </w:t>
            </w:r>
            <w:r w:rsidR="006221F7" w:rsidRPr="00B60BD5">
              <w:rPr>
                <w:rFonts w:ascii="Times New Roman" w:hAnsi="Times New Roman" w:cs="Times New Roman"/>
                <w:sz w:val="22"/>
                <w:szCs w:val="22"/>
              </w:rPr>
              <w:t>Integr</w:t>
            </w:r>
            <w:r w:rsidRPr="00B60BD5">
              <w:rPr>
                <w:rFonts w:ascii="Times New Roman" w:hAnsi="Times New Roman" w:cs="Times New Roman"/>
                <w:sz w:val="22"/>
                <w:szCs w:val="22"/>
              </w:rPr>
              <w:t>acijsk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</w:t>
            </w:r>
            <w:r w:rsidR="006221F7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akcijski plan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B2189" w:rsidRPr="00D6573B">
              <w:rPr>
                <w:rFonts w:ascii="Times New Roman" w:hAnsi="Times New Roman" w:cs="Times New Roman"/>
                <w:sz w:val="22"/>
                <w:szCs w:val="22"/>
              </w:rPr>
              <w:t xml:space="preserve"> za financiranje</w:t>
            </w:r>
          </w:p>
        </w:tc>
        <w:tc>
          <w:tcPr>
            <w:tcW w:w="0" w:type="auto"/>
          </w:tcPr>
          <w:p w:rsidR="00874B3D" w:rsidRPr="00D6573B" w:rsidRDefault="00672D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573B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</w:p>
        </w:tc>
      </w:tr>
    </w:tbl>
    <w:p w:rsidR="002D0598" w:rsidRDefault="002D0598" w:rsidP="002D0598"/>
    <w:p w:rsidR="00B913AC" w:rsidRDefault="00B913AC" w:rsidP="002D0598">
      <w:pPr>
        <w:rPr>
          <w:b/>
          <w:bCs/>
        </w:rPr>
      </w:pPr>
    </w:p>
    <w:p w:rsidR="007F6924" w:rsidRDefault="00205016" w:rsidP="002D0598">
      <w:pPr>
        <w:rPr>
          <w:b/>
          <w:bCs/>
        </w:rPr>
      </w:pPr>
      <w:r w:rsidRPr="00205016">
        <w:rPr>
          <w:b/>
          <w:bCs/>
        </w:rPr>
        <w:t>Lokalna razina</w:t>
      </w:r>
    </w:p>
    <w:p w:rsidR="00B913AC" w:rsidRDefault="00B913AC" w:rsidP="002D0598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1"/>
        <w:gridCol w:w="3578"/>
        <w:gridCol w:w="3313"/>
      </w:tblGrid>
      <w:tr w:rsidR="00842786" w:rsidTr="007F6924">
        <w:tc>
          <w:tcPr>
            <w:tcW w:w="1940" w:type="dxa"/>
          </w:tcPr>
          <w:p w:rsidR="00B913AC" w:rsidRPr="00B913AC" w:rsidRDefault="00B913AC" w:rsidP="00B913AC">
            <w:pPr>
              <w:rPr>
                <w:b/>
              </w:rPr>
            </w:pPr>
            <w:r w:rsidRPr="00B913AC">
              <w:rPr>
                <w:b/>
              </w:rPr>
              <w:t>Ciljana skupina</w:t>
            </w:r>
          </w:p>
        </w:tc>
        <w:tc>
          <w:tcPr>
            <w:tcW w:w="4110" w:type="dxa"/>
          </w:tcPr>
          <w:p w:rsidR="00B913AC" w:rsidRPr="00B913AC" w:rsidRDefault="00B913AC" w:rsidP="00B913AC">
            <w:pPr>
              <w:rPr>
                <w:b/>
              </w:rPr>
            </w:pPr>
            <w:r w:rsidRPr="00B913AC">
              <w:rPr>
                <w:b/>
              </w:rPr>
              <w:t>Cilj</w:t>
            </w:r>
          </w:p>
        </w:tc>
        <w:tc>
          <w:tcPr>
            <w:tcW w:w="3012" w:type="dxa"/>
          </w:tcPr>
          <w:p w:rsidR="00B913AC" w:rsidRPr="00B913AC" w:rsidRDefault="00B913AC" w:rsidP="00B913AC">
            <w:pPr>
              <w:rPr>
                <w:b/>
              </w:rPr>
            </w:pPr>
            <w:r w:rsidRPr="00B913AC">
              <w:rPr>
                <w:b/>
              </w:rPr>
              <w:t>Alat</w:t>
            </w:r>
          </w:p>
        </w:tc>
      </w:tr>
      <w:tr w:rsidR="00842786" w:rsidTr="007F6924">
        <w:trPr>
          <w:trHeight w:val="110"/>
        </w:trPr>
        <w:tc>
          <w:tcPr>
            <w:tcW w:w="0" w:type="auto"/>
          </w:tcPr>
          <w:p w:rsidR="007F6924" w:rsidRPr="008C7BBB" w:rsidRDefault="003B0FD5" w:rsidP="003B0F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Komunikacijski s</w:t>
            </w:r>
            <w:r w:rsidR="00E25FE9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lužbenici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lokalnoj razini</w:t>
            </w:r>
          </w:p>
        </w:tc>
        <w:tc>
          <w:tcPr>
            <w:tcW w:w="0" w:type="auto"/>
          </w:tcPr>
          <w:p w:rsidR="005D1CC0" w:rsidRPr="008C7BBB" w:rsidRDefault="003B0FD5" w:rsidP="005D1C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Izdvojiti/Istaknuti </w:t>
            </w:r>
            <w:r w:rsidR="005D1CC0" w:rsidRPr="008C7BBB">
              <w:rPr>
                <w:rFonts w:ascii="Times New Roman" w:hAnsi="Times New Roman" w:cs="Times New Roman"/>
                <w:sz w:val="22"/>
                <w:szCs w:val="22"/>
              </w:rPr>
              <w:t>komunikacijsk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potrebe</w:t>
            </w:r>
            <w:r w:rsidR="005D1CC0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lokalnih partnera</w:t>
            </w:r>
          </w:p>
          <w:p w:rsidR="007F6924" w:rsidRPr="008C7BBB" w:rsidRDefault="003B0FD5" w:rsidP="003B0F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D1CC0" w:rsidRPr="008C7BBB">
              <w:rPr>
                <w:rFonts w:ascii="Times New Roman" w:hAnsi="Times New Roman" w:cs="Times New Roman"/>
                <w:sz w:val="22"/>
                <w:szCs w:val="22"/>
              </w:rPr>
              <w:t>lakša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="005D1CC0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formiranje z</w:t>
            </w:r>
            <w:r w:rsidR="005D1CC0" w:rsidRPr="008C7BBB">
              <w:rPr>
                <w:rFonts w:ascii="Times New Roman" w:hAnsi="Times New Roman" w:cs="Times New Roman"/>
                <w:sz w:val="22"/>
                <w:szCs w:val="22"/>
              </w:rPr>
              <w:t>ajednice</w:t>
            </w:r>
          </w:p>
        </w:tc>
        <w:tc>
          <w:tcPr>
            <w:tcW w:w="0" w:type="auto"/>
          </w:tcPr>
          <w:p w:rsidR="007F6924" w:rsidRPr="008C7BBB" w:rsidRDefault="007F69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F6924" w:rsidRPr="008C7BBB" w:rsidRDefault="007F69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- WEDA model </w:t>
            </w:r>
            <w:r w:rsidR="003B0FD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2144C" w:rsidRPr="008C7BBB">
              <w:rPr>
                <w:rFonts w:ascii="Times New Roman" w:hAnsi="Times New Roman" w:cs="Times New Roman"/>
                <w:sz w:val="22"/>
                <w:szCs w:val="22"/>
              </w:rPr>
              <w:t>sastanak</w:t>
            </w: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6924" w:rsidRPr="008C7BBB" w:rsidRDefault="007F6924" w:rsidP="003B0F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>Onion</w:t>
            </w:r>
            <w:proofErr w:type="spellEnd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Model </w:t>
            </w:r>
            <w:proofErr w:type="spellStart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>Culture</w:t>
            </w:r>
            <w:proofErr w:type="spellEnd"/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0F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2144C" w:rsidRPr="008C7BBB">
              <w:rPr>
                <w:rFonts w:ascii="Times New Roman" w:hAnsi="Times New Roman" w:cs="Times New Roman"/>
                <w:sz w:val="22"/>
                <w:szCs w:val="22"/>
              </w:rPr>
              <w:t>sastanak</w:t>
            </w: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2786" w:rsidTr="007F6924">
        <w:trPr>
          <w:trHeight w:val="512"/>
        </w:trPr>
        <w:tc>
          <w:tcPr>
            <w:tcW w:w="0" w:type="auto"/>
          </w:tcPr>
          <w:p w:rsidR="007F6924" w:rsidRPr="008C7BBB" w:rsidRDefault="004734DF" w:rsidP="00592D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Članovi </w:t>
            </w:r>
            <w:r w:rsidR="00592DA1" w:rsidRPr="008C7BBB">
              <w:rPr>
                <w:rFonts w:ascii="Times New Roman" w:hAnsi="Times New Roman" w:cs="Times New Roman"/>
                <w:sz w:val="22"/>
                <w:szCs w:val="22"/>
              </w:rPr>
              <w:t>URBACT lokalne radne skupine</w:t>
            </w:r>
          </w:p>
        </w:tc>
        <w:tc>
          <w:tcPr>
            <w:tcW w:w="0" w:type="auto"/>
          </w:tcPr>
          <w:p w:rsidR="007F6924" w:rsidRPr="008C7BBB" w:rsidRDefault="004734DF" w:rsidP="003B50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Olakšati prijenos </w:t>
            </w:r>
            <w:r w:rsidR="003B5067" w:rsidRPr="008C7BBB">
              <w:rPr>
                <w:rFonts w:ascii="Times New Roman" w:hAnsi="Times New Roman" w:cs="Times New Roman"/>
                <w:sz w:val="22"/>
                <w:szCs w:val="22"/>
              </w:rPr>
              <w:t>međunarodnog</w:t>
            </w: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učenja u lokalna učenja i izgradnju kapaciteta.</w:t>
            </w:r>
          </w:p>
        </w:tc>
        <w:tc>
          <w:tcPr>
            <w:tcW w:w="0" w:type="auto"/>
          </w:tcPr>
          <w:p w:rsidR="007F6924" w:rsidRPr="008C7BBB" w:rsidRDefault="00842786" w:rsidP="008427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Informacije i saznanja s </w:t>
            </w:r>
            <w:r w:rsidR="00E745D1" w:rsidRPr="008C7BBB">
              <w:rPr>
                <w:rFonts w:ascii="Times New Roman" w:hAnsi="Times New Roman" w:cs="Times New Roman"/>
                <w:sz w:val="22"/>
                <w:szCs w:val="22"/>
              </w:rPr>
              <w:t>međunarodnih sastanaka</w:t>
            </w:r>
            <w:r w:rsidR="0071607F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za lokalne biltene i druge lokalne komunikacijske alate.</w:t>
            </w:r>
          </w:p>
        </w:tc>
      </w:tr>
      <w:tr w:rsidR="00842786" w:rsidTr="007F6924">
        <w:trPr>
          <w:trHeight w:val="379"/>
        </w:trPr>
        <w:tc>
          <w:tcPr>
            <w:tcW w:w="0" w:type="auto"/>
          </w:tcPr>
          <w:p w:rsidR="007F6924" w:rsidRPr="008C7BBB" w:rsidRDefault="004734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7BBB">
              <w:rPr>
                <w:rFonts w:ascii="Times New Roman" w:hAnsi="Times New Roman" w:cs="Times New Roman"/>
                <w:sz w:val="22"/>
                <w:szCs w:val="22"/>
              </w:rPr>
              <w:t>Lokalni dionici</w:t>
            </w:r>
          </w:p>
        </w:tc>
        <w:tc>
          <w:tcPr>
            <w:tcW w:w="0" w:type="auto"/>
          </w:tcPr>
          <w:p w:rsidR="007F6924" w:rsidRPr="008C7BBB" w:rsidRDefault="00B60BD5" w:rsidP="003B6B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Predstaviti</w:t>
            </w:r>
            <w:r w:rsidR="0071607F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lokalne dionike kao lokalne heroje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podržati</w:t>
            </w:r>
            <w:r w:rsidR="0071607F" w:rsidRPr="008C7BBB">
              <w:rPr>
                <w:rFonts w:ascii="Times New Roman" w:hAnsi="Times New Roman" w:cs="Times New Roman"/>
                <w:sz w:val="22"/>
                <w:szCs w:val="22"/>
              </w:rPr>
              <w:t xml:space="preserve"> one koji koriste različite komunikacijske alate i kanale.</w:t>
            </w:r>
          </w:p>
        </w:tc>
        <w:tc>
          <w:tcPr>
            <w:tcW w:w="0" w:type="auto"/>
          </w:tcPr>
          <w:p w:rsidR="007F6924" w:rsidRPr="008C7BBB" w:rsidRDefault="00D13783" w:rsidP="00E745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Informacije i saznanja s </w:t>
            </w:r>
            <w:r w:rsidR="00E745D1" w:rsidRPr="008C7BBB">
              <w:rPr>
                <w:rFonts w:ascii="Times New Roman" w:hAnsi="Times New Roman" w:cs="Times New Roman"/>
                <w:sz w:val="22"/>
                <w:szCs w:val="22"/>
              </w:rPr>
              <w:t>međunarodnih sastanaka z</w:t>
            </w:r>
            <w:r w:rsidR="0071607F" w:rsidRPr="008C7BBB">
              <w:rPr>
                <w:rFonts w:ascii="Times New Roman" w:hAnsi="Times New Roman" w:cs="Times New Roman"/>
                <w:sz w:val="22"/>
                <w:szCs w:val="22"/>
              </w:rPr>
              <w:t>a lokalne biltene i druge lokalne komunikacijske alate.</w:t>
            </w:r>
          </w:p>
        </w:tc>
      </w:tr>
    </w:tbl>
    <w:p w:rsidR="007F6924" w:rsidRDefault="007F6924" w:rsidP="002D0598"/>
    <w:p w:rsidR="00281597" w:rsidRDefault="00B76916" w:rsidP="002D0598">
      <w:r w:rsidRPr="00B76916">
        <w:t xml:space="preserve">Ciljevi su posebno </w:t>
      </w:r>
      <w:r>
        <w:t xml:space="preserve">usmjereni </w:t>
      </w:r>
      <w:r w:rsidR="00BB27AE">
        <w:t>na</w:t>
      </w:r>
      <w:r w:rsidRPr="00B76916">
        <w:t xml:space="preserve"> </w:t>
      </w:r>
      <w:r>
        <w:t>skupin</w:t>
      </w:r>
      <w:r w:rsidR="00BB27AE">
        <w:t>e</w:t>
      </w:r>
      <w:r w:rsidRPr="00B76916">
        <w:t xml:space="preserve">, koristeći odgovarajući </w:t>
      </w:r>
      <w:r w:rsidR="000A5BF5">
        <w:t>alat</w:t>
      </w:r>
      <w:r w:rsidRPr="00B76916">
        <w:t>. Poruke za svaku cil</w:t>
      </w:r>
      <w:r w:rsidR="00BB27AE">
        <w:t>j</w:t>
      </w:r>
      <w:r w:rsidR="00CD0FD1">
        <w:t>a</w:t>
      </w:r>
      <w:r w:rsidRPr="00B76916">
        <w:t xml:space="preserve">nu </w:t>
      </w:r>
      <w:r>
        <w:t>skupinu</w:t>
      </w:r>
      <w:r w:rsidRPr="00B76916">
        <w:t xml:space="preserve"> utvrdit će se na </w:t>
      </w:r>
      <w:r w:rsidR="003B5067">
        <w:t>međunarodnim</w:t>
      </w:r>
      <w:r w:rsidRPr="00B76916">
        <w:t xml:space="preserve"> sastancima</w:t>
      </w:r>
      <w:r>
        <w:t>.</w:t>
      </w:r>
    </w:p>
    <w:p w:rsidR="00281597" w:rsidRDefault="00281597" w:rsidP="002D0598"/>
    <w:p w:rsidR="00F45744" w:rsidRPr="00F45744" w:rsidRDefault="001D5BD0" w:rsidP="00281597">
      <w:pPr>
        <w:rPr>
          <w:b/>
        </w:rPr>
      </w:pPr>
      <w:r>
        <w:rPr>
          <w:b/>
        </w:rPr>
        <w:t>4. Ključne etape/točke</w:t>
      </w:r>
      <w:r w:rsidR="00F45744" w:rsidRPr="00F45744">
        <w:rPr>
          <w:b/>
        </w:rPr>
        <w:t>, događa</w:t>
      </w:r>
      <w:r w:rsidR="005764E5">
        <w:rPr>
          <w:b/>
        </w:rPr>
        <w:t>n</w:t>
      </w:r>
      <w:r w:rsidR="00F45744" w:rsidRPr="00F45744">
        <w:rPr>
          <w:b/>
        </w:rPr>
        <w:t>j</w:t>
      </w:r>
      <w:r w:rsidR="005764E5">
        <w:rPr>
          <w:b/>
        </w:rPr>
        <w:t>a</w:t>
      </w:r>
      <w:r w:rsidR="00F45744" w:rsidRPr="00F45744">
        <w:rPr>
          <w:b/>
        </w:rPr>
        <w:t xml:space="preserve"> </w:t>
      </w:r>
      <w:r w:rsidR="002F1D6B">
        <w:rPr>
          <w:b/>
        </w:rPr>
        <w:t>i</w:t>
      </w:r>
      <w:r w:rsidR="00F45744" w:rsidRPr="00F45744">
        <w:rPr>
          <w:b/>
        </w:rPr>
        <w:t xml:space="preserve"> ključne poruke</w:t>
      </w:r>
    </w:p>
    <w:p w:rsidR="00F45744" w:rsidRDefault="00F45744" w:rsidP="00537E94">
      <w:pPr>
        <w:jc w:val="both"/>
      </w:pPr>
      <w:r>
        <w:t xml:space="preserve">U ovom </w:t>
      </w:r>
      <w:r w:rsidR="00537E94">
        <w:t>poglavlju</w:t>
      </w:r>
      <w:r>
        <w:t xml:space="preserve"> </w:t>
      </w:r>
      <w:r w:rsidR="00CA15DC">
        <w:t>žarište</w:t>
      </w:r>
      <w:r>
        <w:t xml:space="preserve"> je na </w:t>
      </w:r>
      <w:r w:rsidR="00537E94">
        <w:t>ključnim etapama/točkama</w:t>
      </w:r>
      <w:r>
        <w:t xml:space="preserve"> i događajima u projektu. </w:t>
      </w:r>
      <w:r w:rsidR="00537E94">
        <w:t>Ključne točke</w:t>
      </w:r>
      <w:r>
        <w:t xml:space="preserve"> i događaji često dovode do </w:t>
      </w:r>
      <w:r w:rsidR="00537E94">
        <w:t>ključnih</w:t>
      </w:r>
      <w:r>
        <w:t xml:space="preserve"> poruka koje se mogu prenijeti i stoga će se pr</w:t>
      </w:r>
      <w:r w:rsidR="00CA15DC">
        <w:t>ilagoditi</w:t>
      </w:r>
      <w:r>
        <w:t xml:space="preserve"> lokaln</w:t>
      </w:r>
      <w:r w:rsidR="00CA15DC">
        <w:t>im</w:t>
      </w:r>
      <w:r>
        <w:t xml:space="preserve"> situacij</w:t>
      </w:r>
      <w:r w:rsidR="00CA15DC">
        <w:t>ama</w:t>
      </w:r>
      <w:r>
        <w:t>.</w:t>
      </w:r>
    </w:p>
    <w:p w:rsidR="00F45744" w:rsidRDefault="00537E94" w:rsidP="00537E94">
      <w:pPr>
        <w:jc w:val="both"/>
      </w:pPr>
      <w:r>
        <w:t>Ključne</w:t>
      </w:r>
      <w:r w:rsidR="00F45744">
        <w:t xml:space="preserve"> poruke i slogani razvijat će se u suradnji s projektnim partnerima, u skladu s njihovim lokalnim komunikacijskim planom. To pomaže u komunikaciji o postignućima i ciljevima </w:t>
      </w:r>
      <w:r w:rsidR="00FA4CC5" w:rsidRPr="00FA4CC5">
        <w:t>Mrež</w:t>
      </w:r>
      <w:r w:rsidR="00FA4CC5">
        <w:t>e</w:t>
      </w:r>
      <w:r w:rsidR="00FA4CC5" w:rsidRPr="00FA4CC5">
        <w:t xml:space="preserve"> za akcijsko planiranje</w:t>
      </w:r>
      <w:r w:rsidR="00FA4CC5">
        <w:t>.</w:t>
      </w:r>
    </w:p>
    <w:p w:rsidR="00281597" w:rsidRDefault="00537E94" w:rsidP="00537E94">
      <w:pPr>
        <w:jc w:val="both"/>
      </w:pPr>
      <w:r>
        <w:lastRenderedPageBreak/>
        <w:t>Ključne</w:t>
      </w:r>
      <w:r w:rsidR="00F45744">
        <w:t xml:space="preserve"> poruke podijeljene su u četiri kategorije i mogu se istodobno koristiti na lokalnoj i mrežnoj razini.</w:t>
      </w:r>
    </w:p>
    <w:p w:rsidR="00CA15DC" w:rsidRDefault="00CA15DC" w:rsidP="00F45744"/>
    <w:p w:rsidR="00265301" w:rsidRDefault="00265301" w:rsidP="00265301">
      <w:r w:rsidRPr="00265301">
        <w:t xml:space="preserve">4.1. </w:t>
      </w:r>
      <w:r w:rsidR="008D0345">
        <w:t>N</w:t>
      </w:r>
      <w:r w:rsidR="00537E94">
        <w:t>ajnovije informacije o tijeku projekta</w:t>
      </w:r>
    </w:p>
    <w:p w:rsidR="00356F44" w:rsidRDefault="00356F44" w:rsidP="00AC5320">
      <w:pPr>
        <w:ind w:left="480"/>
      </w:pPr>
      <w:r w:rsidRPr="00356F44">
        <w:t xml:space="preserve">• </w:t>
      </w:r>
      <w:r w:rsidR="00537E94">
        <w:t xml:space="preserve">Događanja na kojima se sudjelovalo, informacije o partnerima, </w:t>
      </w:r>
      <w:r w:rsidR="00AC5320">
        <w:t>obilježavanje-</w:t>
      </w:r>
      <w:r w:rsidRPr="00356F44">
        <w:t xml:space="preserve">dani </w:t>
      </w:r>
      <w:r w:rsidR="008D0345">
        <w:t>„proslava“</w:t>
      </w:r>
    </w:p>
    <w:p w:rsidR="00281597" w:rsidRPr="00281597" w:rsidRDefault="00356F44" w:rsidP="00AC5320">
      <w:pPr>
        <w:ind w:firstLine="480"/>
      </w:pPr>
      <w:r w:rsidRPr="00356F44">
        <w:t xml:space="preserve">• </w:t>
      </w:r>
      <w:r w:rsidR="00785555">
        <w:t>Međunarodni</w:t>
      </w:r>
      <w:r w:rsidRPr="00356F44">
        <w:t xml:space="preserve"> sastanci</w:t>
      </w:r>
    </w:p>
    <w:p w:rsidR="00281597" w:rsidRPr="00281597" w:rsidRDefault="00281597" w:rsidP="00281597"/>
    <w:p w:rsidR="00496628" w:rsidRDefault="00496628" w:rsidP="008D0345">
      <w:pPr>
        <w:jc w:val="both"/>
      </w:pPr>
      <w:r w:rsidRPr="00496628">
        <w:t xml:space="preserve">Ključne poruke u </w:t>
      </w:r>
      <w:r w:rsidR="008D0345">
        <w:t xml:space="preserve">kategoriji </w:t>
      </w:r>
      <w:r w:rsidRPr="00496628">
        <w:t>ažuriranj</w:t>
      </w:r>
      <w:r w:rsidR="008D0345">
        <w:t>a</w:t>
      </w:r>
      <w:r w:rsidRPr="00496628">
        <w:t xml:space="preserve"> </w:t>
      </w:r>
      <w:r w:rsidR="008D0345">
        <w:t xml:space="preserve">(najnovijih informacija) </w:t>
      </w:r>
      <w:r w:rsidR="0019439D">
        <w:t>p</w:t>
      </w:r>
      <w:r w:rsidR="008D0345">
        <w:t>rocesa</w:t>
      </w:r>
      <w:r w:rsidR="0019439D" w:rsidRPr="00496628">
        <w:t xml:space="preserve"> </w:t>
      </w:r>
      <w:r w:rsidRPr="00496628">
        <w:t>projekt</w:t>
      </w:r>
      <w:r w:rsidR="0019439D">
        <w:t>a</w:t>
      </w:r>
      <w:r w:rsidRPr="00496628">
        <w:t xml:space="preserve"> </w:t>
      </w:r>
      <w:r w:rsidR="003B5067" w:rsidRPr="00496628">
        <w:t xml:space="preserve">su </w:t>
      </w:r>
      <w:r w:rsidRPr="00496628">
        <w:t>namijenjene širokoj publici, koj</w:t>
      </w:r>
      <w:r w:rsidR="008D0345">
        <w:t>u</w:t>
      </w:r>
      <w:r w:rsidRPr="00496628">
        <w:t xml:space="preserve"> </w:t>
      </w:r>
      <w:r w:rsidR="008D0345">
        <w:t>predstavlja pro</w:t>
      </w:r>
      <w:r w:rsidRPr="00496628">
        <w:t xml:space="preserve">širena mreža dionika uspostavljena na temelju rada u okviru Partnerstva za urbanu </w:t>
      </w:r>
      <w:proofErr w:type="spellStart"/>
      <w:r w:rsidRPr="00496628">
        <w:t>agendu</w:t>
      </w:r>
      <w:proofErr w:type="spellEnd"/>
      <w:r w:rsidRPr="00496628">
        <w:t xml:space="preserve"> o kružno</w:t>
      </w:r>
      <w:r w:rsidR="008D0345">
        <w:t>m</w:t>
      </w:r>
      <w:r w:rsidRPr="00496628">
        <w:t xml:space="preserve"> </w:t>
      </w:r>
      <w:r w:rsidR="008D0345">
        <w:t>gospodarstvu</w:t>
      </w:r>
      <w:r w:rsidRPr="00496628">
        <w:t xml:space="preserve">. Zajedno s proširenom mrežom planiramo pronaći </w:t>
      </w:r>
      <w:r w:rsidR="00CA15DC">
        <w:t>prostore</w:t>
      </w:r>
      <w:r w:rsidR="008D0345">
        <w:t xml:space="preserve"> u kojima M</w:t>
      </w:r>
      <w:r w:rsidRPr="00496628">
        <w:t xml:space="preserve">reža također može komunicirati i dijeliti znanje s drugim relevantnim dionicima, poput europskih organizacija, povezanih projekata koji se financiraju </w:t>
      </w:r>
      <w:r w:rsidR="008D0345">
        <w:t xml:space="preserve">iz EU sredstava </w:t>
      </w:r>
      <w:r w:rsidRPr="00496628">
        <w:t xml:space="preserve">i drugih gradova. </w:t>
      </w:r>
      <w:proofErr w:type="spellStart"/>
      <w:r w:rsidRPr="00496628">
        <w:t>Webinari</w:t>
      </w:r>
      <w:proofErr w:type="spellEnd"/>
      <w:r w:rsidRPr="00496628">
        <w:t xml:space="preserve"> i seminari bit će glavna aktivnost ove </w:t>
      </w:r>
      <w:r w:rsidR="00F66123">
        <w:t>podj</w:t>
      </w:r>
      <w:r w:rsidR="009E3D9C">
        <w:t xml:space="preserve">ele i </w:t>
      </w:r>
      <w:r w:rsidR="00F66123">
        <w:t>razmjene znanja, p</w:t>
      </w:r>
      <w:r w:rsidRPr="00496628">
        <w:t>o mogućnosti na forumima poput Europskog tjedna gradova i regija</w:t>
      </w:r>
      <w:r w:rsidR="00857D8E">
        <w:t xml:space="preserve"> (</w:t>
      </w:r>
      <w:r w:rsidRPr="00496628">
        <w:t>Otpad</w:t>
      </w:r>
      <w:r w:rsidR="00857D8E">
        <w:t>)</w:t>
      </w:r>
      <w:r w:rsidRPr="00496628">
        <w:t xml:space="preserve">. Razmjena znanja i </w:t>
      </w:r>
      <w:r w:rsidR="00F66123">
        <w:t>obilježavanje datuma (</w:t>
      </w:r>
      <w:r w:rsidRPr="00496628">
        <w:t>proslave</w:t>
      </w:r>
      <w:r w:rsidR="00F66123">
        <w:t>)</w:t>
      </w:r>
      <w:r w:rsidRPr="00496628">
        <w:t xml:space="preserve"> važne su poruke kojima se poka</w:t>
      </w:r>
      <w:r w:rsidR="004D1E16">
        <w:t>zuje da je projekt vrlo aktivan,</w:t>
      </w:r>
      <w:r w:rsidRPr="00496628">
        <w:t xml:space="preserve"> stekne uvid u pozitivnu atmosferu i tijek rada </w:t>
      </w:r>
      <w:r w:rsidR="00F66123">
        <w:t>M</w:t>
      </w:r>
      <w:r w:rsidRPr="00496628">
        <w:t xml:space="preserve">reže, a time </w:t>
      </w:r>
      <w:r w:rsidR="004D1E16">
        <w:t xml:space="preserve">se </w:t>
      </w:r>
      <w:r w:rsidRPr="00496628">
        <w:t xml:space="preserve">privlači </w:t>
      </w:r>
      <w:r w:rsidR="00F66123">
        <w:t xml:space="preserve">šira </w:t>
      </w:r>
      <w:r w:rsidR="00CA15DC">
        <w:t>javnost</w:t>
      </w:r>
      <w:r w:rsidRPr="00496628">
        <w:t>.</w:t>
      </w:r>
    </w:p>
    <w:p w:rsidR="00281597" w:rsidRDefault="00F66123" w:rsidP="00F66123">
      <w:pPr>
        <w:jc w:val="both"/>
      </w:pPr>
      <w:proofErr w:type="spellStart"/>
      <w:r>
        <w:t>M</w:t>
      </w:r>
      <w:r w:rsidR="003639E5">
        <w:t>eđunarondni</w:t>
      </w:r>
      <w:proofErr w:type="spellEnd"/>
      <w:r w:rsidR="00123D91" w:rsidRPr="00123D91">
        <w:t xml:space="preserve"> sastanci s</w:t>
      </w:r>
      <w:r>
        <w:t>e sastoje od</w:t>
      </w:r>
      <w:r w:rsidR="00123D91" w:rsidRPr="00123D91">
        <w:t xml:space="preserve"> puno </w:t>
      </w:r>
      <w:r w:rsidR="00553191">
        <w:t xml:space="preserve">dijeljenja i razmjene znanja </w:t>
      </w:r>
      <w:r w:rsidR="00E71C74">
        <w:t>koji omogućuju</w:t>
      </w:r>
      <w:r w:rsidR="00E71C74" w:rsidRPr="00E71C74">
        <w:t xml:space="preserve"> spajanje partnerstva i uzajamnu provjeru</w:t>
      </w:r>
      <w:r>
        <w:t xml:space="preserve"> (gdje je tko)</w:t>
      </w:r>
      <w:r w:rsidR="00123D91" w:rsidRPr="00123D91">
        <w:t xml:space="preserve">. </w:t>
      </w:r>
      <w:r w:rsidR="00C13785">
        <w:t>Na taj način</w:t>
      </w:r>
      <w:r w:rsidR="00123D91" w:rsidRPr="00123D91">
        <w:t xml:space="preserve"> partneri međusobno stječu znanje i razmjenjuju svoja lokalna iskustva. Na svakom </w:t>
      </w:r>
      <w:r w:rsidR="003639E5">
        <w:t xml:space="preserve">međunarodnom </w:t>
      </w:r>
      <w:r w:rsidR="00123D91" w:rsidRPr="00123D91">
        <w:t xml:space="preserve">sastanku pregledat će se mreža za dijeljenje i učenje kako bi se osiguralo </w:t>
      </w:r>
      <w:r w:rsidR="00DD46C2">
        <w:t>usvajanje</w:t>
      </w:r>
      <w:r w:rsidR="00123D91" w:rsidRPr="00123D91">
        <w:t xml:space="preserve"> optimalne mogućnosti razmjene i učenja </w:t>
      </w:r>
      <w:r w:rsidR="00523FE7">
        <w:t>te</w:t>
      </w:r>
      <w:r w:rsidR="00123D91" w:rsidRPr="00123D91">
        <w:t xml:space="preserve"> da ona ostane dinamična i </w:t>
      </w:r>
      <w:r w:rsidR="00523FE7">
        <w:t>značajna</w:t>
      </w:r>
      <w:r w:rsidR="00123D91" w:rsidRPr="00123D91">
        <w:t xml:space="preserve"> za nove potrebe. Rezultati ove razmjene znanja mogu kasnije </w:t>
      </w:r>
      <w:r>
        <w:t>poslužiti</w:t>
      </w:r>
      <w:r w:rsidR="00553191">
        <w:t xml:space="preserve"> kao </w:t>
      </w:r>
      <w:r>
        <w:t>rezultat</w:t>
      </w:r>
      <w:r w:rsidR="00123D91" w:rsidRPr="00123D91">
        <w:t xml:space="preserve"> za proširenu mrežu.</w:t>
      </w:r>
    </w:p>
    <w:p w:rsidR="00CA15DC" w:rsidRDefault="00CA15DC" w:rsidP="008F7AB4"/>
    <w:p w:rsidR="008F7AB4" w:rsidRDefault="00B502A6" w:rsidP="008F7AB4">
      <w:r>
        <w:t>4.2. Nadahnite</w:t>
      </w:r>
      <w:r w:rsidR="008F7AB4" w:rsidRPr="008F7AB4">
        <w:t xml:space="preserve"> i motivirajte</w:t>
      </w:r>
    </w:p>
    <w:p w:rsidR="008F7AB4" w:rsidRDefault="00281597" w:rsidP="00272ED0">
      <w:pPr>
        <w:ind w:firstLine="708"/>
      </w:pPr>
      <w:r w:rsidRPr="00281597">
        <w:t xml:space="preserve">• </w:t>
      </w:r>
      <w:r w:rsidR="00B502A6">
        <w:t>Najbolje prakse i primjeri</w:t>
      </w:r>
    </w:p>
    <w:p w:rsidR="00281597" w:rsidRPr="00281597" w:rsidRDefault="00281597" w:rsidP="00272ED0">
      <w:pPr>
        <w:ind w:firstLine="708"/>
      </w:pPr>
      <w:r w:rsidRPr="00281597">
        <w:t xml:space="preserve">• </w:t>
      </w:r>
      <w:r w:rsidR="008F7AB4" w:rsidRPr="008F7AB4">
        <w:t xml:space="preserve">Mogućnosti </w:t>
      </w:r>
      <w:r w:rsidR="00F742A1">
        <w:t>financiranja</w:t>
      </w:r>
    </w:p>
    <w:p w:rsidR="00651150" w:rsidRDefault="00281597" w:rsidP="00272ED0">
      <w:pPr>
        <w:ind w:firstLine="708"/>
      </w:pPr>
      <w:r w:rsidRPr="00281597">
        <w:t xml:space="preserve">• </w:t>
      </w:r>
      <w:r w:rsidR="00BD0701" w:rsidRPr="00BD0701">
        <w:t xml:space="preserve">Proslavite uspjeh pojedinih partnera i </w:t>
      </w:r>
      <w:r w:rsidR="00FA4CC5" w:rsidRPr="00FA4CC5">
        <w:t>Mrež</w:t>
      </w:r>
      <w:r w:rsidR="00FA4CC5">
        <w:t>e</w:t>
      </w:r>
      <w:r w:rsidR="00FA4CC5" w:rsidRPr="00FA4CC5">
        <w:t xml:space="preserve"> za akcijsko planiranje</w:t>
      </w:r>
    </w:p>
    <w:p w:rsidR="00651150" w:rsidRDefault="00651150" w:rsidP="002D0598"/>
    <w:p w:rsidR="00651150" w:rsidRDefault="006D77FE" w:rsidP="00B502A6">
      <w:pPr>
        <w:jc w:val="both"/>
      </w:pPr>
      <w:r w:rsidRPr="006D77FE">
        <w:t>Temeljne poruke u ovoj kategoriji trebaju nadahnuti i motivirati partnere</w:t>
      </w:r>
      <w:r w:rsidR="00FA4CC5" w:rsidRPr="00FA4CC5">
        <w:t xml:space="preserve"> Mrež</w:t>
      </w:r>
      <w:r w:rsidR="00FA4CC5">
        <w:t>e</w:t>
      </w:r>
      <w:r w:rsidR="00FA4CC5" w:rsidRPr="00FA4CC5">
        <w:t xml:space="preserve"> za akcijsko planiranje</w:t>
      </w:r>
      <w:r w:rsidRPr="006D77FE">
        <w:t xml:space="preserve"> i proširenu mrežu. </w:t>
      </w:r>
      <w:r w:rsidR="00B6163F">
        <w:t xml:space="preserve">S obzirom </w:t>
      </w:r>
      <w:r w:rsidRPr="006D77FE">
        <w:t xml:space="preserve">da je glavna svrha </w:t>
      </w:r>
      <w:r w:rsidR="00FA4CC5" w:rsidRPr="00FA4CC5">
        <w:t>Mrež</w:t>
      </w:r>
      <w:r w:rsidR="00FA4CC5">
        <w:t>e</w:t>
      </w:r>
      <w:r w:rsidR="00FA4CC5" w:rsidRPr="00FA4CC5">
        <w:t xml:space="preserve"> za akcijsko planiranje </w:t>
      </w:r>
      <w:r w:rsidRPr="006D77FE">
        <w:t xml:space="preserve">razmjena znanja i </w:t>
      </w:r>
      <w:r w:rsidR="00B6163F">
        <w:t>uspostavljanje (</w:t>
      </w:r>
      <w:r w:rsidRPr="006D77FE">
        <w:t>razvoj</w:t>
      </w:r>
      <w:r w:rsidR="00B6163F">
        <w:t>)</w:t>
      </w:r>
      <w:r w:rsidRPr="006D77FE">
        <w:t xml:space="preserve"> </w:t>
      </w:r>
      <w:r w:rsidR="00725A9D">
        <w:t xml:space="preserve">centara za </w:t>
      </w:r>
      <w:r w:rsidRPr="006D77FE">
        <w:t>urban</w:t>
      </w:r>
      <w:r w:rsidR="00725A9D">
        <w:t>e resurse</w:t>
      </w:r>
      <w:r w:rsidRPr="006D77FE">
        <w:t>, zanimljivo je podijeliti najbolje prakse koje provod</w:t>
      </w:r>
      <w:r w:rsidR="00DF7B02">
        <w:t>e</w:t>
      </w:r>
      <w:r w:rsidRPr="006D77FE">
        <w:t xml:space="preserve">, na primjer, drugi europski gradovi. To je posebno važno jer su </w:t>
      </w:r>
      <w:r w:rsidR="00725A9D" w:rsidRPr="006D77FE">
        <w:t xml:space="preserve">centri </w:t>
      </w:r>
      <w:r w:rsidR="00725A9D">
        <w:t xml:space="preserve">za </w:t>
      </w:r>
      <w:r w:rsidRPr="006D77FE">
        <w:t>urban</w:t>
      </w:r>
      <w:r w:rsidR="00725A9D">
        <w:t>e</w:t>
      </w:r>
      <w:r w:rsidRPr="006D77FE">
        <w:t xml:space="preserve"> resurs</w:t>
      </w:r>
      <w:r w:rsidR="00725A9D">
        <w:t>e</w:t>
      </w:r>
      <w:r w:rsidRPr="006D77FE">
        <w:t xml:space="preserve"> još uvijek r</w:t>
      </w:r>
      <w:r w:rsidR="00B6163F">
        <w:t>elativno novi u kontekstu kružnog gospodarstva</w:t>
      </w:r>
      <w:r w:rsidRPr="006D77FE">
        <w:t xml:space="preserve"> i </w:t>
      </w:r>
      <w:r w:rsidR="00B6163F">
        <w:t xml:space="preserve">o tome </w:t>
      </w:r>
      <w:r w:rsidRPr="006D77FE">
        <w:t xml:space="preserve">treba </w:t>
      </w:r>
      <w:r w:rsidR="00B6163F">
        <w:t>osigurati</w:t>
      </w:r>
      <w:r w:rsidRPr="006D77FE">
        <w:t xml:space="preserve"> više znanja. Dijeleći najbolje prakse partnera iz </w:t>
      </w:r>
      <w:r w:rsidR="00236A5B" w:rsidRPr="00236A5B">
        <w:t>Mrež</w:t>
      </w:r>
      <w:r w:rsidR="00236A5B">
        <w:t>e</w:t>
      </w:r>
      <w:r w:rsidR="00236A5B" w:rsidRPr="00236A5B">
        <w:t xml:space="preserve"> za akcijsko planiranje </w:t>
      </w:r>
      <w:r w:rsidRPr="006D77FE">
        <w:t xml:space="preserve">i drugih URBACT mreža, motivirati </w:t>
      </w:r>
      <w:r w:rsidR="00725A9D">
        <w:t xml:space="preserve">će </w:t>
      </w:r>
      <w:r w:rsidR="00A35524">
        <w:t xml:space="preserve">se </w:t>
      </w:r>
      <w:r w:rsidRPr="006D77FE">
        <w:t>gradove i poduzetnike</w:t>
      </w:r>
      <w:r w:rsidR="00B6163F">
        <w:t>,</w:t>
      </w:r>
      <w:r w:rsidRPr="006D77FE">
        <w:t xml:space="preserve"> </w:t>
      </w:r>
      <w:r w:rsidR="00B6163F">
        <w:t>za koje</w:t>
      </w:r>
      <w:r w:rsidRPr="006D77FE">
        <w:t xml:space="preserve"> su </w:t>
      </w:r>
      <w:r w:rsidR="00330848" w:rsidRPr="00330848">
        <w:t>Centr</w:t>
      </w:r>
      <w:r w:rsidR="00B6163F">
        <w:t>i</w:t>
      </w:r>
      <w:r w:rsidR="00330848" w:rsidRPr="00330848">
        <w:t xml:space="preserve"> za urbane resurse </w:t>
      </w:r>
      <w:r w:rsidRPr="006D77FE">
        <w:t>ili u kružno</w:t>
      </w:r>
      <w:r w:rsidR="00B6163F">
        <w:t xml:space="preserve"> gospodarstvo novina, </w:t>
      </w:r>
      <w:r w:rsidRPr="006D77FE">
        <w:t>da naprave prve korake.</w:t>
      </w:r>
    </w:p>
    <w:p w:rsidR="00B6163F" w:rsidRDefault="00B6163F" w:rsidP="00B6163F">
      <w:pPr>
        <w:jc w:val="both"/>
      </w:pPr>
    </w:p>
    <w:p w:rsidR="00651150" w:rsidRDefault="001F6A14" w:rsidP="00B6163F">
      <w:pPr>
        <w:jc w:val="both"/>
      </w:pPr>
      <w:r w:rsidRPr="001F6A14">
        <w:lastRenderedPageBreak/>
        <w:t xml:space="preserve">Poruke o mogućnostima financiranja uglavnom su namijenjene partnerima </w:t>
      </w:r>
      <w:r w:rsidR="00FA4CC5" w:rsidRPr="00FA4CC5">
        <w:t>Mrež</w:t>
      </w:r>
      <w:r w:rsidR="00FA4CC5">
        <w:t>e</w:t>
      </w:r>
      <w:r w:rsidR="00FA4CC5" w:rsidRPr="00FA4CC5">
        <w:t xml:space="preserve"> za akcijsko planiranje</w:t>
      </w:r>
      <w:r w:rsidRPr="001F6A14">
        <w:t>. Potreb</w:t>
      </w:r>
      <w:r w:rsidR="00B6163F">
        <w:t>an</w:t>
      </w:r>
      <w:r w:rsidRPr="001F6A14">
        <w:t xml:space="preserve"> je </w:t>
      </w:r>
      <w:r w:rsidR="00B6163F">
        <w:t>značajan kapital</w:t>
      </w:r>
      <w:r w:rsidRPr="001F6A14">
        <w:t xml:space="preserve"> i stoga </w:t>
      </w:r>
      <w:proofErr w:type="spellStart"/>
      <w:r w:rsidR="004E4842">
        <w:t>par</w:t>
      </w:r>
      <w:r w:rsidR="00F5563E">
        <w:t>n</w:t>
      </w:r>
      <w:r w:rsidR="004E4842">
        <w:t>tenri</w:t>
      </w:r>
      <w:proofErr w:type="spellEnd"/>
      <w:r w:rsidR="004E4842">
        <w:t xml:space="preserve"> trebaju</w:t>
      </w:r>
      <w:r w:rsidRPr="001F6A14">
        <w:t xml:space="preserve"> biti pronicljiv</w:t>
      </w:r>
      <w:r w:rsidR="004E4842">
        <w:t>i</w:t>
      </w:r>
      <w:r w:rsidRPr="001F6A14">
        <w:t xml:space="preserve"> </w:t>
      </w:r>
      <w:r w:rsidR="004E4842">
        <w:t xml:space="preserve">kako </w:t>
      </w:r>
      <w:r w:rsidR="00B6163F">
        <w:t xml:space="preserve">bi </w:t>
      </w:r>
      <w:r w:rsidR="004E4842">
        <w:t>se</w:t>
      </w:r>
      <w:r w:rsidRPr="001F6A14">
        <w:t xml:space="preserve"> informira</w:t>
      </w:r>
      <w:r w:rsidR="00B6163F">
        <w:t>li</w:t>
      </w:r>
      <w:r w:rsidRPr="001F6A14">
        <w:t xml:space="preserve"> o dodatnom financiranju. </w:t>
      </w:r>
      <w:r w:rsidR="00B6163F">
        <w:t>Za gradove je k</w:t>
      </w:r>
      <w:r w:rsidR="00901C2E" w:rsidRPr="00901C2E">
        <w:t xml:space="preserve">orist velika, u slučaju da žele istražiti koje su potrebe i </w:t>
      </w:r>
      <w:r w:rsidR="00B6163F">
        <w:t>uvjeti</w:t>
      </w:r>
      <w:r w:rsidR="00901C2E" w:rsidRPr="00901C2E">
        <w:t xml:space="preserve"> u njihovim gradovima ili osnovati centar </w:t>
      </w:r>
      <w:r w:rsidR="00901C2E">
        <w:t xml:space="preserve">za </w:t>
      </w:r>
      <w:r w:rsidR="00901C2E" w:rsidRPr="00901C2E">
        <w:t>urban</w:t>
      </w:r>
      <w:r w:rsidR="00901C2E">
        <w:t>e</w:t>
      </w:r>
      <w:r w:rsidR="00901C2E" w:rsidRPr="00901C2E">
        <w:t xml:space="preserve"> resurs</w:t>
      </w:r>
      <w:r w:rsidR="00901C2E">
        <w:t>e.</w:t>
      </w:r>
      <w:r w:rsidRPr="001F6A14">
        <w:t xml:space="preserve"> Isto tako, druge europske organizacije, povezani projekti koji se financiraju iz europskih fondova i drugi gradovi mogu imati koristi od tih mogućnosti.</w:t>
      </w:r>
    </w:p>
    <w:p w:rsidR="006B10BF" w:rsidRDefault="006B10BF" w:rsidP="00651150"/>
    <w:p w:rsidR="00651150" w:rsidRDefault="007F2BA9" w:rsidP="00A67969">
      <w:pPr>
        <w:jc w:val="both"/>
      </w:pPr>
      <w:r w:rsidRPr="007F2BA9">
        <w:t xml:space="preserve">Kategorija koja </w:t>
      </w:r>
      <w:r w:rsidR="00205385">
        <w:t>obilježava (</w:t>
      </w:r>
      <w:r w:rsidRPr="007F2BA9">
        <w:t>slavi</w:t>
      </w:r>
      <w:r w:rsidR="00205385">
        <w:t>)</w:t>
      </w:r>
      <w:r w:rsidRPr="007F2BA9">
        <w:t xml:space="preserve"> (individualni) uspjeh važna je kako bi </w:t>
      </w:r>
      <w:r w:rsidR="00A67969">
        <w:t xml:space="preserve">se </w:t>
      </w:r>
      <w:r w:rsidRPr="007F2BA9">
        <w:t>partneri motivira</w:t>
      </w:r>
      <w:r w:rsidR="00A67969">
        <w:t>li</w:t>
      </w:r>
      <w:r w:rsidRPr="007F2BA9">
        <w:t xml:space="preserve"> za posao koji rade i napredak koji postižu u kružno</w:t>
      </w:r>
      <w:r w:rsidR="00A67969">
        <w:t>m gospodarstvu</w:t>
      </w:r>
      <w:r w:rsidRPr="007F2BA9">
        <w:t xml:space="preserve">. Istodobno, </w:t>
      </w:r>
      <w:r w:rsidR="00A67969">
        <w:t xml:space="preserve">takav </w:t>
      </w:r>
      <w:r w:rsidRPr="007F2BA9">
        <w:t xml:space="preserve">uspjeh može biti privlačan za druge gradove da sudjeluju, surađuju i ubrzaju razvoj </w:t>
      </w:r>
      <w:r w:rsidR="00A67969">
        <w:t xml:space="preserve">svojeg </w:t>
      </w:r>
      <w:r w:rsidR="00183F5A" w:rsidRPr="007F2BA9">
        <w:t>kružn</w:t>
      </w:r>
      <w:r w:rsidR="00A67969">
        <w:t>og gospodarstva</w:t>
      </w:r>
      <w:r w:rsidR="00183F5A" w:rsidRPr="007F2BA9">
        <w:t xml:space="preserve"> </w:t>
      </w:r>
      <w:r w:rsidR="00183F5A">
        <w:t xml:space="preserve">i </w:t>
      </w:r>
      <w:r w:rsidR="00183F5A" w:rsidRPr="007F2BA9">
        <w:t xml:space="preserve">centara </w:t>
      </w:r>
      <w:r w:rsidR="00183F5A">
        <w:t xml:space="preserve">za </w:t>
      </w:r>
      <w:r w:rsidRPr="007F2BA9">
        <w:t>urban</w:t>
      </w:r>
      <w:r w:rsidR="00183F5A">
        <w:t>e resurse</w:t>
      </w:r>
      <w:r w:rsidR="002C03EB">
        <w:t>.</w:t>
      </w:r>
      <w:r w:rsidRPr="007F2BA9">
        <w:t xml:space="preserve"> Međutim, </w:t>
      </w:r>
      <w:r w:rsidR="00205385">
        <w:t xml:space="preserve">tim se porukama mogu </w:t>
      </w:r>
      <w:r w:rsidRPr="007F2BA9">
        <w:t xml:space="preserve">također </w:t>
      </w:r>
      <w:r w:rsidR="00205385">
        <w:t>obilježiti (pro</w:t>
      </w:r>
      <w:r w:rsidRPr="007F2BA9">
        <w:t>slaviti</w:t>
      </w:r>
      <w:r w:rsidR="00205385">
        <w:t>)</w:t>
      </w:r>
      <w:r w:rsidRPr="007F2BA9">
        <w:t xml:space="preserve"> uspjeh aktivnog sudjelovanja građana ili političke podrške, koj</w:t>
      </w:r>
      <w:r w:rsidR="00205385">
        <w:t>i</w:t>
      </w:r>
      <w:r w:rsidRPr="007F2BA9">
        <w:t xml:space="preserve"> su također neophodn</w:t>
      </w:r>
      <w:r w:rsidR="00205385">
        <w:t>i</w:t>
      </w:r>
      <w:r w:rsidRPr="007F2BA9">
        <w:t xml:space="preserve"> na putu tranzicije. Važno je komunicirati o konkretnim rezultatima, a to ne uključuje samo novostečeno znanje, već i uspostavljene ili proširene </w:t>
      </w:r>
      <w:proofErr w:type="spellStart"/>
      <w:r w:rsidR="00E50EE7" w:rsidRPr="00E50EE7">
        <w:t>Centar</w:t>
      </w:r>
      <w:r w:rsidR="00E50EE7">
        <w:t>e</w:t>
      </w:r>
      <w:proofErr w:type="spellEnd"/>
      <w:r w:rsidR="00E50EE7" w:rsidRPr="00E50EE7">
        <w:t xml:space="preserve"> za urbane resurse</w:t>
      </w:r>
      <w:r w:rsidRPr="007F2BA9">
        <w:t>.</w:t>
      </w:r>
    </w:p>
    <w:p w:rsidR="006B10BF" w:rsidRDefault="006B10BF" w:rsidP="00AC302E"/>
    <w:p w:rsidR="00AC302E" w:rsidRDefault="00AC302E" w:rsidP="00AC302E">
      <w:r w:rsidRPr="00AC302E">
        <w:t xml:space="preserve">4.3. Izgradnja kapaciteta i </w:t>
      </w:r>
      <w:r w:rsidR="003639E5">
        <w:t>međunarodno</w:t>
      </w:r>
      <w:r w:rsidRPr="00AC302E">
        <w:t xml:space="preserve"> učenje</w:t>
      </w:r>
    </w:p>
    <w:p w:rsidR="0001377E" w:rsidRDefault="00651150" w:rsidP="00272ED0">
      <w:pPr>
        <w:ind w:firstLine="708"/>
      </w:pPr>
      <w:r w:rsidRPr="00651150">
        <w:t xml:space="preserve">• </w:t>
      </w:r>
      <w:r w:rsidR="00AC302E" w:rsidRPr="00AC302E">
        <w:t xml:space="preserve">Savjeti i </w:t>
      </w:r>
      <w:r w:rsidR="0001377E">
        <w:t>prijedlozi</w:t>
      </w:r>
      <w:r w:rsidR="00AC302E" w:rsidRPr="00AC302E">
        <w:t xml:space="preserve"> za </w:t>
      </w:r>
      <w:r w:rsidR="0001377E">
        <w:t>kružno gospodarstvo</w:t>
      </w:r>
      <w:r w:rsidR="00AC302E" w:rsidRPr="00AC302E">
        <w:t xml:space="preserve"> i </w:t>
      </w:r>
      <w:r w:rsidR="0001377E" w:rsidRPr="0001377E">
        <w:t>Centar za urbane resurse</w:t>
      </w:r>
    </w:p>
    <w:p w:rsidR="00651150" w:rsidRPr="00651150" w:rsidRDefault="00651150" w:rsidP="00272ED0">
      <w:pPr>
        <w:ind w:firstLine="708"/>
      </w:pPr>
      <w:r w:rsidRPr="00651150">
        <w:t xml:space="preserve">• </w:t>
      </w:r>
      <w:r w:rsidR="0001377E">
        <w:t>Okviri s a</w:t>
      </w:r>
      <w:r w:rsidR="00AC302E" w:rsidRPr="00AC302E">
        <w:t>lati</w:t>
      </w:r>
      <w:r w:rsidR="0001377E">
        <w:t>ma</w:t>
      </w:r>
    </w:p>
    <w:p w:rsidR="00651150" w:rsidRPr="00651150" w:rsidRDefault="00651150" w:rsidP="00272ED0">
      <w:pPr>
        <w:ind w:firstLine="708"/>
      </w:pPr>
      <w:r w:rsidRPr="00651150">
        <w:t xml:space="preserve">• </w:t>
      </w:r>
      <w:r w:rsidR="00AC302E" w:rsidRPr="00AC302E">
        <w:t>Izvješća (sažeci)</w:t>
      </w:r>
    </w:p>
    <w:p w:rsidR="00651150" w:rsidRPr="00651150" w:rsidRDefault="00651150" w:rsidP="00651150"/>
    <w:p w:rsidR="00843EB5" w:rsidRDefault="00E00B14" w:rsidP="00205385">
      <w:pPr>
        <w:jc w:val="both"/>
      </w:pPr>
      <w:r w:rsidRPr="00E00B14">
        <w:t xml:space="preserve">Izgradnja kapaciteta i </w:t>
      </w:r>
      <w:r w:rsidR="003639E5">
        <w:t>međunarodno</w:t>
      </w:r>
      <w:r w:rsidRPr="00E00B14">
        <w:t xml:space="preserve"> učenje nastavit će se na temeljnim porukama „Inspiriraj</w:t>
      </w:r>
      <w:r w:rsidR="001900CA">
        <w:t xml:space="preserve"> (nadahni)</w:t>
      </w:r>
      <w:r w:rsidRPr="00E00B14">
        <w:t xml:space="preserve"> i motiviraj“ i uglavnom će se </w:t>
      </w:r>
      <w:r w:rsidR="001900CA">
        <w:t>razmijeniti</w:t>
      </w:r>
      <w:r w:rsidRPr="00E00B14">
        <w:t xml:space="preserve"> pred kraj projekta. Međutim, u ovoj će kategoriji glavna publika biti proširena </w:t>
      </w:r>
      <w:r w:rsidR="001900CA">
        <w:t>M</w:t>
      </w:r>
      <w:r w:rsidRPr="00E00B14">
        <w:t xml:space="preserve">reža. Nakon </w:t>
      </w:r>
      <w:r w:rsidR="001900CA">
        <w:t xml:space="preserve">određenog </w:t>
      </w:r>
      <w:r w:rsidRPr="00E00B14">
        <w:t xml:space="preserve">napretka projekta, savjeti i </w:t>
      </w:r>
      <w:r w:rsidR="005D7531">
        <w:t>prijedlozi</w:t>
      </w:r>
      <w:r w:rsidRPr="00E00B14">
        <w:t xml:space="preserve"> o </w:t>
      </w:r>
      <w:r w:rsidR="00183F5A" w:rsidRPr="00E00B14">
        <w:t xml:space="preserve">centrima </w:t>
      </w:r>
      <w:r w:rsidR="00183F5A">
        <w:t xml:space="preserve">za </w:t>
      </w:r>
      <w:r w:rsidRPr="00E00B14">
        <w:t>urban</w:t>
      </w:r>
      <w:r w:rsidR="00183F5A">
        <w:t>e</w:t>
      </w:r>
      <w:r w:rsidRPr="00E00B14">
        <w:t xml:space="preserve"> resurs</w:t>
      </w:r>
      <w:r w:rsidR="00183F5A">
        <w:t>e</w:t>
      </w:r>
      <w:r w:rsidRPr="00E00B14">
        <w:t xml:space="preserve"> i ubrzavanju kružn</w:t>
      </w:r>
      <w:r>
        <w:t>og gospodarstva</w:t>
      </w:r>
      <w:r w:rsidRPr="00E00B14">
        <w:t xml:space="preserve"> mogu se </w:t>
      </w:r>
      <w:r w:rsidR="001900CA">
        <w:t>podijeliti s proširenom M</w:t>
      </w:r>
      <w:r w:rsidRPr="00E00B14">
        <w:t xml:space="preserve">režom, </w:t>
      </w:r>
      <w:r w:rsidR="001900CA">
        <w:t xml:space="preserve">u obliku </w:t>
      </w:r>
      <w:r w:rsidRPr="00E00B14">
        <w:t xml:space="preserve">platformi </w:t>
      </w:r>
      <w:r w:rsidR="005D7531">
        <w:t>znanja</w:t>
      </w:r>
      <w:r w:rsidRPr="00E00B14">
        <w:t xml:space="preserve">. Isto vrijedi i za alate i </w:t>
      </w:r>
      <w:r w:rsidR="00183F5A">
        <w:t xml:space="preserve">okvire s </w:t>
      </w:r>
      <w:r w:rsidRPr="00E00B14">
        <w:t>alatima koji su na primjer korišteni u projektu i pogodovali su izgradnji kapaciteta i prijelaznom učenju.</w:t>
      </w:r>
    </w:p>
    <w:p w:rsidR="00843EB5" w:rsidRDefault="00843EB5" w:rsidP="00651150"/>
    <w:p w:rsidR="00843EB5" w:rsidRDefault="00824A04" w:rsidP="00986584">
      <w:pPr>
        <w:jc w:val="both"/>
      </w:pPr>
      <w:r w:rsidRPr="00824A04">
        <w:t xml:space="preserve">Ako </w:t>
      </w:r>
      <w:r w:rsidR="0045064C">
        <w:t>javnost</w:t>
      </w:r>
      <w:r w:rsidRPr="00824A04">
        <w:t xml:space="preserve"> </w:t>
      </w:r>
      <w:r w:rsidR="0045064C">
        <w:t>želi saznati</w:t>
      </w:r>
      <w:r w:rsidRPr="00824A04">
        <w:t xml:space="preserve"> više o projektu u cjelini, na primjer da se informira o </w:t>
      </w:r>
      <w:r w:rsidR="006B23F0">
        <w:t>aktivnostima</w:t>
      </w:r>
      <w:r w:rsidR="003B5067">
        <w:t xml:space="preserve"> </w:t>
      </w:r>
      <w:r w:rsidRPr="00824A04">
        <w:t xml:space="preserve">projekta, centrima </w:t>
      </w:r>
      <w:r w:rsidR="004505B5">
        <w:t xml:space="preserve">za </w:t>
      </w:r>
      <w:r w:rsidRPr="00824A04">
        <w:t>urban</w:t>
      </w:r>
      <w:r w:rsidR="004505B5">
        <w:t>e</w:t>
      </w:r>
      <w:r w:rsidRPr="00824A04">
        <w:t xml:space="preserve"> resurs</w:t>
      </w:r>
      <w:r w:rsidR="004505B5">
        <w:t>e</w:t>
      </w:r>
      <w:r w:rsidRPr="00824A04">
        <w:t xml:space="preserve"> ili prilikama </w:t>
      </w:r>
      <w:r w:rsidR="004505B5">
        <w:t>kružnog gospodarstva</w:t>
      </w:r>
      <w:r w:rsidRPr="00824A04">
        <w:t xml:space="preserve"> ili </w:t>
      </w:r>
      <w:r w:rsidR="00986584">
        <w:t xml:space="preserve">o </w:t>
      </w:r>
      <w:r w:rsidRPr="00824A04">
        <w:t xml:space="preserve">radu </w:t>
      </w:r>
      <w:r w:rsidR="00986584">
        <w:t>M</w:t>
      </w:r>
      <w:r w:rsidRPr="00824A04">
        <w:t xml:space="preserve">reže može čitati izvješća, poput </w:t>
      </w:r>
      <w:r w:rsidR="00986584">
        <w:t>Osnovne</w:t>
      </w:r>
      <w:r w:rsidRPr="00824A04">
        <w:t xml:space="preserve"> studij</w:t>
      </w:r>
      <w:r w:rsidR="00986584">
        <w:t>e (</w:t>
      </w:r>
      <w:proofErr w:type="spellStart"/>
      <w:r w:rsidR="00986584">
        <w:t>Baseline</w:t>
      </w:r>
      <w:proofErr w:type="spellEnd"/>
      <w:r w:rsidR="00986584">
        <w:t xml:space="preserve"> </w:t>
      </w:r>
      <w:proofErr w:type="spellStart"/>
      <w:r w:rsidR="00986584">
        <w:t>Study</w:t>
      </w:r>
      <w:proofErr w:type="spellEnd"/>
      <w:r w:rsidR="00986584">
        <w:t>) i istraživanja</w:t>
      </w:r>
      <w:r w:rsidRPr="00824A04">
        <w:t xml:space="preserve"> koje je prov</w:t>
      </w:r>
      <w:r w:rsidR="004505B5">
        <w:t>e</w:t>
      </w:r>
      <w:r w:rsidR="00FA4CC5">
        <w:t>la</w:t>
      </w:r>
      <w:r w:rsidRPr="00824A04">
        <w:t xml:space="preserve"> </w:t>
      </w:r>
      <w:r w:rsidR="00FA4CC5" w:rsidRPr="00FA4CC5">
        <w:t>Mreža za akcijsko planiranje</w:t>
      </w:r>
      <w:r w:rsidRPr="00824A04">
        <w:t xml:space="preserve"> ili pojedini partneri. Ovo je važno kako bi se vidjeli rezultati rada na </w:t>
      </w:r>
      <w:r w:rsidR="0012704E">
        <w:t>međunarodnoj</w:t>
      </w:r>
      <w:r w:rsidRPr="00824A04">
        <w:t xml:space="preserve"> i lokalnoj razini. Posebno je važno usredotočiti se i na lokalnu razinu, jer to često može biti privlačnije ili </w:t>
      </w:r>
      <w:r w:rsidR="00FF4362">
        <w:t xml:space="preserve">lakše prepoznato za </w:t>
      </w:r>
      <w:r w:rsidRPr="00824A04">
        <w:t>širu publiku.</w:t>
      </w:r>
    </w:p>
    <w:p w:rsidR="00843EB5" w:rsidRDefault="00843EB5" w:rsidP="00843EB5"/>
    <w:p w:rsidR="00824A04" w:rsidRDefault="00824A04" w:rsidP="00824A04">
      <w:r w:rsidRPr="00824A04">
        <w:t xml:space="preserve">4.4. </w:t>
      </w:r>
      <w:r w:rsidR="00986584">
        <w:t>URBACT lokalne radne skupine</w:t>
      </w:r>
    </w:p>
    <w:p w:rsidR="00824A04" w:rsidRDefault="00843EB5" w:rsidP="00272ED0">
      <w:pPr>
        <w:ind w:firstLine="708"/>
      </w:pPr>
      <w:r w:rsidRPr="00843EB5">
        <w:t xml:space="preserve">• </w:t>
      </w:r>
      <w:r w:rsidR="00824A04" w:rsidRPr="00824A04">
        <w:t>Izloženost i vidljivost</w:t>
      </w:r>
    </w:p>
    <w:p w:rsidR="00843EB5" w:rsidRPr="00843EB5" w:rsidRDefault="00843EB5" w:rsidP="00272ED0">
      <w:pPr>
        <w:ind w:firstLine="708"/>
      </w:pPr>
      <w:r w:rsidRPr="00843EB5">
        <w:t xml:space="preserve">• </w:t>
      </w:r>
      <w:r w:rsidR="000872E8" w:rsidRPr="000872E8">
        <w:t>Najbolje prakse</w:t>
      </w:r>
    </w:p>
    <w:p w:rsidR="00843EB5" w:rsidRPr="00843EB5" w:rsidRDefault="00843EB5" w:rsidP="00843EB5"/>
    <w:p w:rsidR="00843EB5" w:rsidRDefault="00017023" w:rsidP="00E70302">
      <w:pPr>
        <w:jc w:val="both"/>
      </w:pPr>
      <w:r w:rsidRPr="00017023">
        <w:lastRenderedPageBreak/>
        <w:t xml:space="preserve">Ključne poruke iz </w:t>
      </w:r>
      <w:r w:rsidR="007E7BCA">
        <w:t>aktivnosti</w:t>
      </w:r>
      <w:r w:rsidRPr="00017023">
        <w:t xml:space="preserve"> </w:t>
      </w:r>
      <w:r w:rsidR="004505B5">
        <w:t xml:space="preserve">koje </w:t>
      </w:r>
      <w:r w:rsidR="007E7BCA">
        <w:t xml:space="preserve">se </w:t>
      </w:r>
      <w:r w:rsidR="004505B5">
        <w:t>provod</w:t>
      </w:r>
      <w:r w:rsidR="007E7BCA">
        <w:t>e</w:t>
      </w:r>
      <w:r w:rsidRPr="00017023">
        <w:t xml:space="preserve"> u </w:t>
      </w:r>
      <w:r w:rsidR="00592DA1" w:rsidRPr="00592DA1">
        <w:t>URBACT lokaln</w:t>
      </w:r>
      <w:r w:rsidR="00592DA1">
        <w:t>oj</w:t>
      </w:r>
      <w:r w:rsidR="00592DA1" w:rsidRPr="00592DA1">
        <w:t xml:space="preserve"> radn</w:t>
      </w:r>
      <w:r w:rsidR="00592DA1">
        <w:t>oj</w:t>
      </w:r>
      <w:r w:rsidR="00592DA1" w:rsidRPr="00592DA1">
        <w:t xml:space="preserve"> skupin</w:t>
      </w:r>
      <w:r w:rsidR="00592DA1">
        <w:t>i</w:t>
      </w:r>
      <w:r w:rsidR="00592DA1" w:rsidRPr="00592DA1">
        <w:t xml:space="preserve"> </w:t>
      </w:r>
      <w:r w:rsidRPr="00017023">
        <w:t>imaju za glavnu svrhu prikaz</w:t>
      </w:r>
      <w:r w:rsidR="007E7BCA">
        <w:t xml:space="preserve">ati </w:t>
      </w:r>
      <w:r w:rsidRPr="00017023">
        <w:t xml:space="preserve">što se događa na lokalnoj razini. Prikazivanje primjera iz drugih gradova i </w:t>
      </w:r>
      <w:r w:rsidR="00592DA1" w:rsidRPr="00592DA1">
        <w:t>URBACT lokaln</w:t>
      </w:r>
      <w:r w:rsidR="00592DA1">
        <w:t>ih</w:t>
      </w:r>
      <w:r w:rsidR="00592DA1" w:rsidRPr="00592DA1">
        <w:t xml:space="preserve"> radn</w:t>
      </w:r>
      <w:r w:rsidR="00592DA1">
        <w:t>ih</w:t>
      </w:r>
      <w:r w:rsidR="00592DA1" w:rsidRPr="00592DA1">
        <w:t xml:space="preserve"> skupina </w:t>
      </w:r>
      <w:r w:rsidRPr="00017023">
        <w:t xml:space="preserve">također može stvoriti osjećaj veće zajedničke kulture i može </w:t>
      </w:r>
      <w:r w:rsidR="004505B5">
        <w:t>prido</w:t>
      </w:r>
      <w:r w:rsidRPr="00017023">
        <w:t xml:space="preserve">nijeti </w:t>
      </w:r>
      <w:r w:rsidR="0012704E">
        <w:t>međunarodn</w:t>
      </w:r>
      <w:r w:rsidR="004505B5">
        <w:t>om</w:t>
      </w:r>
      <w:r w:rsidRPr="00017023">
        <w:t xml:space="preserve"> učenj</w:t>
      </w:r>
      <w:r w:rsidR="004505B5">
        <w:t>u</w:t>
      </w:r>
      <w:r w:rsidRPr="00017023">
        <w:t xml:space="preserve"> na lokalnu razinu.</w:t>
      </w:r>
    </w:p>
    <w:p w:rsidR="0066469C" w:rsidRDefault="0066469C" w:rsidP="00843EB5"/>
    <w:p w:rsidR="00843EB5" w:rsidRDefault="00C8477F" w:rsidP="000D37A1">
      <w:pPr>
        <w:jc w:val="both"/>
      </w:pPr>
      <w:r w:rsidRPr="00C8477F">
        <w:t xml:space="preserve">URBACT lokalna radna skupina </w:t>
      </w:r>
      <w:r w:rsidR="007E7BCA" w:rsidRPr="002A27F4">
        <w:t>sastoj</w:t>
      </w:r>
      <w:r w:rsidR="007E7BCA">
        <w:t>i</w:t>
      </w:r>
      <w:r w:rsidR="007E7BCA" w:rsidRPr="002A27F4">
        <w:t xml:space="preserve"> </w:t>
      </w:r>
      <w:r w:rsidR="002A27F4" w:rsidRPr="002A27F4">
        <w:t xml:space="preserve">se od dionika s različitih razina koji </w:t>
      </w:r>
      <w:r w:rsidR="00524FE4">
        <w:t xml:space="preserve">djeluju </w:t>
      </w:r>
      <w:r w:rsidR="002A27F4" w:rsidRPr="002A27F4">
        <w:t>u svakom gradu, a imenovan</w:t>
      </w:r>
      <w:r w:rsidR="000D37A1">
        <w:t>i</w:t>
      </w:r>
      <w:r w:rsidR="002A27F4" w:rsidRPr="002A27F4">
        <w:t xml:space="preserve"> kvalificirani koordinator </w:t>
      </w:r>
      <w:r w:rsidRPr="00C8477F">
        <w:t>URBACT lokaln</w:t>
      </w:r>
      <w:r>
        <w:t>e</w:t>
      </w:r>
      <w:r w:rsidRPr="00C8477F">
        <w:t xml:space="preserve"> radn</w:t>
      </w:r>
      <w:r>
        <w:t>e</w:t>
      </w:r>
      <w:r w:rsidRPr="00C8477F">
        <w:t xml:space="preserve"> skupin</w:t>
      </w:r>
      <w:r>
        <w:t>e</w:t>
      </w:r>
      <w:r w:rsidRPr="00C8477F">
        <w:t xml:space="preserve"> </w:t>
      </w:r>
      <w:r w:rsidR="000D37A1">
        <w:t xml:space="preserve">trebao bi </w:t>
      </w:r>
      <w:r w:rsidR="002A27F4" w:rsidRPr="002A27F4">
        <w:t xml:space="preserve">olakšati </w:t>
      </w:r>
      <w:r>
        <w:t>njihov rad</w:t>
      </w:r>
      <w:r w:rsidR="000D37A1">
        <w:t>. K</w:t>
      </w:r>
      <w:r w:rsidR="002A27F4" w:rsidRPr="002A27F4">
        <w:t xml:space="preserve">omunikacija </w:t>
      </w:r>
      <w:r w:rsidR="000D37A1">
        <w:t>bi trebala an</w:t>
      </w:r>
      <w:r w:rsidR="002A27F4" w:rsidRPr="002A27F4">
        <w:t xml:space="preserve">gažirati (nove) dionike </w:t>
      </w:r>
      <w:r w:rsidR="008144B9">
        <w:t>osnovane</w:t>
      </w:r>
      <w:r w:rsidR="002A27F4" w:rsidRPr="002A27F4">
        <w:t xml:space="preserve"> skupine, međutim najvažnije je zadržati aktivno sudjelovanje sadašnjih članova </w:t>
      </w:r>
      <w:r w:rsidRPr="00C8477F">
        <w:t>URBACT lokaln</w:t>
      </w:r>
      <w:r>
        <w:t>e</w:t>
      </w:r>
      <w:r w:rsidRPr="00C8477F">
        <w:t xml:space="preserve"> radn</w:t>
      </w:r>
      <w:r>
        <w:t>e</w:t>
      </w:r>
      <w:r w:rsidRPr="00C8477F">
        <w:t xml:space="preserve"> skupin</w:t>
      </w:r>
      <w:r>
        <w:t>e</w:t>
      </w:r>
      <w:r w:rsidR="00C2205F">
        <w:t>.</w:t>
      </w:r>
    </w:p>
    <w:p w:rsidR="0066469C" w:rsidRDefault="0066469C" w:rsidP="00843EB5"/>
    <w:p w:rsidR="00843EB5" w:rsidRDefault="003F27BA" w:rsidP="007905D1">
      <w:pPr>
        <w:jc w:val="both"/>
      </w:pPr>
      <w:r w:rsidRPr="003F27BA">
        <w:t>Jednom kada se postignu rezultati tijekom događanja, mjesečnih okupljanja i godišnjih javnih događaja, poput dostignuća</w:t>
      </w:r>
      <w:r w:rsidR="007905D1">
        <w:t xml:space="preserve"> važnih za grad</w:t>
      </w:r>
      <w:r w:rsidRPr="003F27BA">
        <w:t xml:space="preserve">, oni se mogu pretočiti u najbolje prakse i podijeliti s </w:t>
      </w:r>
      <w:r w:rsidR="004A7D64">
        <w:t>javnošću</w:t>
      </w:r>
      <w:r w:rsidRPr="003F27BA">
        <w:t>. To je važno jer srž ovog komunikacijskog napora čine vrijedno</w:t>
      </w:r>
      <w:r w:rsidR="007905D1">
        <w:t>sti ili ideje</w:t>
      </w:r>
      <w:r w:rsidRPr="003F27BA">
        <w:t xml:space="preserve"> </w:t>
      </w:r>
      <w:r w:rsidR="007905D1">
        <w:t xml:space="preserve">koje </w:t>
      </w:r>
      <w:r w:rsidRPr="003F27BA">
        <w:t>se smatra</w:t>
      </w:r>
      <w:r w:rsidR="007905D1">
        <w:t>ju</w:t>
      </w:r>
      <w:r w:rsidRPr="003F27BA">
        <w:t xml:space="preserve"> važnim</w:t>
      </w:r>
      <w:r w:rsidR="007905D1">
        <w:t>a</w:t>
      </w:r>
      <w:r w:rsidRPr="003F27BA">
        <w:t xml:space="preserve"> za zajednicu. </w:t>
      </w:r>
      <w:r w:rsidR="007905D1">
        <w:t>Svi partneri u mreži i njihove radne skupine f</w:t>
      </w:r>
      <w:r w:rsidRPr="003F27BA">
        <w:t>ormulira</w:t>
      </w:r>
      <w:r w:rsidR="007905D1">
        <w:t>ti će</w:t>
      </w:r>
      <w:r w:rsidRPr="003F27BA">
        <w:t xml:space="preserve"> lokaln</w:t>
      </w:r>
      <w:r w:rsidR="007905D1">
        <w:t>e</w:t>
      </w:r>
      <w:r w:rsidRPr="003F27BA">
        <w:t xml:space="preserve"> vrijednosti u </w:t>
      </w:r>
      <w:r w:rsidR="007905D1">
        <w:t xml:space="preserve">ranoj fazi. </w:t>
      </w:r>
      <w:r w:rsidRPr="003F27BA">
        <w:t xml:space="preserve">Te će vrijednosti biti </w:t>
      </w:r>
      <w:r w:rsidR="003A0B98">
        <w:t>osnova</w:t>
      </w:r>
      <w:r w:rsidRPr="003F27BA">
        <w:t xml:space="preserve"> za sve ostale komunikacijske napore u </w:t>
      </w:r>
      <w:r w:rsidR="00C2205F">
        <w:t xml:space="preserve">drugoj </w:t>
      </w:r>
      <w:r w:rsidRPr="003F27BA">
        <w:t>fazi.</w:t>
      </w:r>
    </w:p>
    <w:p w:rsidR="00843EB5" w:rsidRDefault="00843EB5" w:rsidP="00843EB5"/>
    <w:p w:rsidR="00843EB5" w:rsidRPr="00A00635" w:rsidRDefault="003F27BA" w:rsidP="00843EB5">
      <w:pPr>
        <w:rPr>
          <w:b/>
        </w:rPr>
      </w:pPr>
      <w:r w:rsidRPr="00A00635">
        <w:rPr>
          <w:b/>
        </w:rPr>
        <w:t>5. Odabrani kanali</w:t>
      </w:r>
    </w:p>
    <w:p w:rsidR="00C7295E" w:rsidRDefault="00B904B5" w:rsidP="007905D1">
      <w:pPr>
        <w:jc w:val="both"/>
      </w:pPr>
      <w:r w:rsidRPr="00B904B5">
        <w:t>Odabrani kanali za dobr</w:t>
      </w:r>
      <w:r w:rsidR="007905D1">
        <w:t>o</w:t>
      </w:r>
      <w:r w:rsidRPr="00B904B5">
        <w:t xml:space="preserve"> integriranu komunikaciju za </w:t>
      </w:r>
      <w:r w:rsidR="000B299A">
        <w:t>Održive</w:t>
      </w:r>
      <w:r w:rsidRPr="00B904B5">
        <w:t xml:space="preserve"> gradove postoje na platformama društvenih medija i statičkoj web stranici na web stranici URBACT</w:t>
      </w:r>
      <w:r w:rsidR="000B299A">
        <w:t>-a</w:t>
      </w:r>
      <w:r w:rsidRPr="00B904B5">
        <w:t>.</w:t>
      </w:r>
    </w:p>
    <w:p w:rsidR="00C7295E" w:rsidRDefault="00C7295E" w:rsidP="00843EB5"/>
    <w:p w:rsidR="00C7295E" w:rsidRDefault="008E74D9" w:rsidP="00C7295E">
      <w:r w:rsidRPr="008E74D9">
        <w:t>5.1. Twitter (u kombinaciji s vijestima i člancima)</w:t>
      </w:r>
    </w:p>
    <w:p w:rsidR="00711B5B" w:rsidRDefault="00711B5B" w:rsidP="00C7295E"/>
    <w:p w:rsidR="00C7295E" w:rsidRDefault="009274BB" w:rsidP="00267CA4">
      <w:pPr>
        <w:jc w:val="both"/>
      </w:pPr>
      <w:r>
        <w:t>Održivi</w:t>
      </w:r>
      <w:r w:rsidR="006C41E0" w:rsidRPr="006C41E0">
        <w:t xml:space="preserve"> gradovi </w:t>
      </w:r>
      <w:r w:rsidR="00267CA4">
        <w:t>shvaćaju</w:t>
      </w:r>
      <w:r w:rsidR="006C41E0" w:rsidRPr="006C41E0">
        <w:t xml:space="preserve"> važnost platformi društvenih medija i stoga su odlučili široko</w:t>
      </w:r>
      <w:r w:rsidR="00267CA4">
        <w:t xml:space="preserve"> je </w:t>
      </w:r>
      <w:r w:rsidR="006C41E0" w:rsidRPr="006C41E0">
        <w:t>korist</w:t>
      </w:r>
      <w:r w:rsidR="00267CA4">
        <w:t>iti</w:t>
      </w:r>
      <w:r w:rsidR="006C41E0" w:rsidRPr="006C41E0">
        <w:t xml:space="preserve"> kada je u pitanju komunikacija. Čineći to, lako </w:t>
      </w:r>
      <w:r w:rsidR="00267CA4">
        <w:t xml:space="preserve">će se doprijeti </w:t>
      </w:r>
      <w:r w:rsidR="006C41E0" w:rsidRPr="006C41E0">
        <w:t xml:space="preserve">do </w:t>
      </w:r>
      <w:r w:rsidR="00566AF0">
        <w:t xml:space="preserve">mnogobrojne </w:t>
      </w:r>
      <w:r w:rsidR="006C41E0" w:rsidRPr="006C41E0">
        <w:t xml:space="preserve">publike, od kreatora politike do </w:t>
      </w:r>
      <w:r w:rsidR="00306F91">
        <w:t>tvrtki</w:t>
      </w:r>
      <w:r w:rsidR="006C41E0" w:rsidRPr="006C41E0">
        <w:t xml:space="preserve"> i građana.</w:t>
      </w:r>
    </w:p>
    <w:p w:rsidR="00C7295E" w:rsidRDefault="008E1707" w:rsidP="00267CA4">
      <w:pPr>
        <w:jc w:val="both"/>
      </w:pPr>
      <w:r w:rsidRPr="008E1707">
        <w:t xml:space="preserve">Twitter omogućuje kratke i jezgrovite poruke te stoga ne preopterećuje publiku s previše informacija. To je prilika za (novu) publiku da na neformalan i zanimljiv način upozna </w:t>
      </w:r>
      <w:r w:rsidR="00047F9E">
        <w:t>M</w:t>
      </w:r>
      <w:r w:rsidRPr="008E1707">
        <w:t xml:space="preserve">režu i njene ciljeve. </w:t>
      </w:r>
      <w:r w:rsidR="00566AF0" w:rsidRPr="00566AF0">
        <w:t xml:space="preserve">Nakon </w:t>
      </w:r>
      <w:r w:rsidR="00412462">
        <w:t>pokretanja</w:t>
      </w:r>
      <w:r w:rsidR="00566AF0" w:rsidRPr="00566AF0">
        <w:t xml:space="preserve"> Twitter programa, došli smo do tema o kojima ćemo </w:t>
      </w:r>
      <w:proofErr w:type="spellStart"/>
      <w:r w:rsidR="00566AF0" w:rsidRPr="00566AF0">
        <w:t>tweetati</w:t>
      </w:r>
      <w:proofErr w:type="spellEnd"/>
      <w:r w:rsidR="00566AF0" w:rsidRPr="00566AF0">
        <w:t>.</w:t>
      </w:r>
      <w:r w:rsidRPr="008E1707">
        <w:t xml:space="preserve"> To uključuje uglavnom ažuriranj</w:t>
      </w:r>
      <w:r w:rsidR="00047F9E">
        <w:t>e</w:t>
      </w:r>
      <w:r w:rsidRPr="008E1707">
        <w:t xml:space="preserve"> projekta</w:t>
      </w:r>
      <w:r w:rsidR="00047F9E">
        <w:t xml:space="preserve"> (najnovije informacije o projektu)</w:t>
      </w:r>
      <w:r w:rsidRPr="008E1707">
        <w:t xml:space="preserve">, uključujući </w:t>
      </w:r>
      <w:r w:rsidR="00047F9E">
        <w:t xml:space="preserve">razne </w:t>
      </w:r>
      <w:r w:rsidRPr="008E1707">
        <w:t xml:space="preserve">događaje, ažuriranja partnera, posebne dane proslave. </w:t>
      </w:r>
      <w:r w:rsidR="00C70C29">
        <w:t>Uključujući dane</w:t>
      </w:r>
      <w:r w:rsidRPr="008E1707">
        <w:t xml:space="preserve"> proslave</w:t>
      </w:r>
      <w:r w:rsidR="00C70C29">
        <w:t>/obilježavanja</w:t>
      </w:r>
      <w:r w:rsidRPr="008E1707">
        <w:t xml:space="preserve"> ponovno se naglašava glavna svrha projekta, poput prijelaza na kružno gospodarstvo, smanjenja </w:t>
      </w:r>
      <w:r w:rsidR="00EB79F1">
        <w:t xml:space="preserve">otpada, </w:t>
      </w:r>
      <w:r w:rsidRPr="008E1707">
        <w:t xml:space="preserve">ponovne upotrebe i recikliranja otpada, smanjenja emisije ugljika i drugih oblika </w:t>
      </w:r>
      <w:r w:rsidR="005F51E7">
        <w:t>onečišćenja</w:t>
      </w:r>
      <w:r w:rsidRPr="008E1707">
        <w:t>. Osim toga, na ovoj platformi mogu se dijeliti fotografije i slike što pomaže steći vizualnu predstavu o mreži i o</w:t>
      </w:r>
      <w:r w:rsidR="0024152A">
        <w:t>sje</w:t>
      </w:r>
      <w:r w:rsidR="00C70C29">
        <w:t>ć</w:t>
      </w:r>
      <w:r w:rsidR="0024152A">
        <w:t>aj</w:t>
      </w:r>
      <w:r w:rsidRPr="008E1707">
        <w:t xml:space="preserve"> pozitivne atmosfere i tijeka </w:t>
      </w:r>
      <w:r w:rsidR="007A3B70">
        <w:t>aktivnosti</w:t>
      </w:r>
      <w:r w:rsidRPr="008E1707">
        <w:t xml:space="preserve"> u mreži.</w:t>
      </w:r>
    </w:p>
    <w:p w:rsidR="00C7295E" w:rsidRDefault="00345C15" w:rsidP="00F93ABC">
      <w:pPr>
        <w:jc w:val="both"/>
      </w:pPr>
      <w:r>
        <w:t>Nadalje</w:t>
      </w:r>
      <w:r w:rsidRPr="00345C15">
        <w:t xml:space="preserve">, na Twitteru se mogu dijeliti i ozbiljnije teme, poput "Nadahnjujući i motivirajući rezultati", te izgradnja kapaciteta i </w:t>
      </w:r>
      <w:r w:rsidR="004106B2">
        <w:t>međunarodnog</w:t>
      </w:r>
      <w:r w:rsidRPr="00345C15">
        <w:t xml:space="preserve"> učenja. Da biste dobili pregled onoga što će se dijeliti na ovoj platformi, pogledajte mrežu komunikacija na stranici 10.</w:t>
      </w:r>
    </w:p>
    <w:p w:rsidR="00406267" w:rsidRDefault="00406267" w:rsidP="00F93ABC">
      <w:pPr>
        <w:jc w:val="both"/>
      </w:pPr>
      <w:r w:rsidRPr="00406267">
        <w:lastRenderedPageBreak/>
        <w:t xml:space="preserve">Twitter postovi sadržavat će glavnu komunikaciju kako je predstavljena u pregledu komunikacije: </w:t>
      </w:r>
      <w:r w:rsidR="00F93ABC">
        <w:t>razni</w:t>
      </w:r>
      <w:r w:rsidRPr="00406267">
        <w:t xml:space="preserve"> događaji, ažuriranja partnera, posebni dani proslave</w:t>
      </w:r>
      <w:r w:rsidR="00F93ABC">
        <w:t>/obilježavanja</w:t>
      </w:r>
      <w:r w:rsidRPr="00406267">
        <w:t xml:space="preserve">, </w:t>
      </w:r>
      <w:r w:rsidR="004106B2">
        <w:t xml:space="preserve">međunarodni </w:t>
      </w:r>
      <w:r w:rsidR="00F93ABC">
        <w:t>sastanci, najbolje prakse</w:t>
      </w:r>
      <w:r w:rsidRPr="00406267">
        <w:t xml:space="preserve">/primjeri, mogućnosti financiranja, proslava uspjeha pojedinih partnera i </w:t>
      </w:r>
      <w:r w:rsidR="00B9406D" w:rsidRPr="00B9406D">
        <w:t>Mrež</w:t>
      </w:r>
      <w:r w:rsidR="00B9406D">
        <w:t>e</w:t>
      </w:r>
      <w:r w:rsidR="00B9406D" w:rsidRPr="00B9406D">
        <w:t xml:space="preserve"> za akcijsko planiranje</w:t>
      </w:r>
      <w:r w:rsidRPr="00406267">
        <w:t>. Pored toga, bit će sadržaja iz samog URBACT-a i interakcije s drugim URBACT mrežama.</w:t>
      </w:r>
    </w:p>
    <w:p w:rsidR="00C7295E" w:rsidRDefault="007321B5" w:rsidP="00C7295E">
      <w:r w:rsidRPr="007321B5">
        <w:t>Pored Twittera istražuje se mogućnost korištenja drugih platformi društvenih medija.</w:t>
      </w:r>
    </w:p>
    <w:p w:rsidR="00C7295E" w:rsidRDefault="00C7295E" w:rsidP="00C7295E"/>
    <w:p w:rsidR="00C7295E" w:rsidRDefault="00FF7D32" w:rsidP="00C7295E">
      <w:r w:rsidRPr="00FF7D32">
        <w:t>5.2. Statič</w:t>
      </w:r>
      <w:r w:rsidR="005E5709">
        <w:t>n</w:t>
      </w:r>
      <w:r w:rsidRPr="00FF7D32">
        <w:t>a stranica (na web stranici URBACT)</w:t>
      </w:r>
    </w:p>
    <w:p w:rsidR="00C7295E" w:rsidRDefault="000A41C8" w:rsidP="005E5709">
      <w:pPr>
        <w:jc w:val="both"/>
      </w:pPr>
      <w:r w:rsidRPr="000A41C8">
        <w:t xml:space="preserve">Pored aktivnog doprinosa na društvenim mrežama, </w:t>
      </w:r>
      <w:r>
        <w:t>Održivi</w:t>
      </w:r>
      <w:r w:rsidRPr="000A41C8">
        <w:t xml:space="preserve"> gradovi također će objavljivati dokumente, ažuriranja i slike na statičnoj stranici. Ova je stranica "posjetnica" projekta i stoga će sadržavati formalne dokumente, poput osnovne studije i izvješća o istraživanju.</w:t>
      </w:r>
    </w:p>
    <w:p w:rsidR="00CF6C03" w:rsidRDefault="003F5453" w:rsidP="005944DF">
      <w:pPr>
        <w:jc w:val="both"/>
      </w:pPr>
      <w:r w:rsidRPr="003F5453">
        <w:t xml:space="preserve">Sadržaj statične stranice uključuje: savjete i </w:t>
      </w:r>
      <w:r w:rsidR="00A92C3C">
        <w:t xml:space="preserve">prijedloge </w:t>
      </w:r>
      <w:r w:rsidRPr="003F5453">
        <w:t xml:space="preserve">za </w:t>
      </w:r>
      <w:r w:rsidR="00A92C3C">
        <w:t>kružno gospodarstvo</w:t>
      </w:r>
      <w:r w:rsidRPr="003F5453">
        <w:t xml:space="preserve"> i </w:t>
      </w:r>
      <w:r w:rsidR="00A92C3C" w:rsidRPr="00A92C3C">
        <w:t>Centar za urbane resurse</w:t>
      </w:r>
      <w:r w:rsidRPr="003F5453">
        <w:t>, alate (okvire), izvješ</w:t>
      </w:r>
      <w:r w:rsidR="005E6B1F">
        <w:t>ća</w:t>
      </w:r>
      <w:r w:rsidRPr="003F5453">
        <w:t xml:space="preserve"> (sažetke), izloženost i vidljivost i najbolje prakse </w:t>
      </w:r>
      <w:r w:rsidR="004A7D64" w:rsidRPr="004A7D64">
        <w:t>URBACT lokaln</w:t>
      </w:r>
      <w:r w:rsidR="004A7D64">
        <w:t>e</w:t>
      </w:r>
      <w:r w:rsidR="004A7D64" w:rsidRPr="004A7D64">
        <w:t xml:space="preserve"> radn</w:t>
      </w:r>
      <w:r w:rsidR="004A7D64">
        <w:t>e</w:t>
      </w:r>
      <w:r w:rsidR="004A7D64" w:rsidRPr="004A7D64">
        <w:t xml:space="preserve"> skupin</w:t>
      </w:r>
      <w:r w:rsidR="004A7D64">
        <w:t>e</w:t>
      </w:r>
      <w:r w:rsidRPr="003F5453">
        <w:t xml:space="preserve">. Pored toga, redovito će se objavljivati članci za ažuriranje mreže stručnjaka, donositelja odluka, službenika za politike i </w:t>
      </w:r>
      <w:r>
        <w:t>tvrtke.</w:t>
      </w:r>
    </w:p>
    <w:p w:rsidR="00CF6C03" w:rsidRDefault="003D10EC" w:rsidP="003D10EC">
      <w:pPr>
        <w:jc w:val="both"/>
      </w:pPr>
      <w:r>
        <w:t>Stranica je obogaćena</w:t>
      </w:r>
      <w:r w:rsidR="00B13414" w:rsidRPr="00B13414">
        <w:t xml:space="preserve"> važni</w:t>
      </w:r>
      <w:r>
        <w:t>m dokumen</w:t>
      </w:r>
      <w:r w:rsidR="00B13414" w:rsidRPr="00B13414">
        <w:t>t</w:t>
      </w:r>
      <w:r>
        <w:t>ima</w:t>
      </w:r>
      <w:r w:rsidR="00B13414" w:rsidRPr="00B13414">
        <w:t xml:space="preserve"> i fotografija</w:t>
      </w:r>
      <w:r>
        <w:t>ma</w:t>
      </w:r>
      <w:r w:rsidR="00B13414" w:rsidRPr="00B13414">
        <w:t xml:space="preserve"> koje daju </w:t>
      </w:r>
      <w:r w:rsidR="0055407C">
        <w:t>detaljniji</w:t>
      </w:r>
      <w:r w:rsidR="00B13414" w:rsidRPr="00B13414">
        <w:t xml:space="preserve"> uvid u projekt </w:t>
      </w:r>
      <w:r w:rsidR="00F61B6B">
        <w:t>Održivi g</w:t>
      </w:r>
      <w:r w:rsidR="00B13414" w:rsidRPr="00B13414">
        <w:t>radovi.</w:t>
      </w:r>
    </w:p>
    <w:p w:rsidR="00F649E2" w:rsidRDefault="00F649E2" w:rsidP="00CF6C03"/>
    <w:p w:rsidR="00CF6C03" w:rsidRDefault="00F649E2" w:rsidP="00CF6C03">
      <w:r w:rsidRPr="00F649E2">
        <w:t>5.3. YouTube kanal</w:t>
      </w:r>
    </w:p>
    <w:p w:rsidR="00CF6C03" w:rsidRDefault="004F38AD" w:rsidP="005F71E9">
      <w:pPr>
        <w:jc w:val="both"/>
      </w:pPr>
      <w:r w:rsidRPr="004F38AD">
        <w:t xml:space="preserve">Glavni cilj mreže </w:t>
      </w:r>
      <w:r>
        <w:t xml:space="preserve">Održivi </w:t>
      </w:r>
      <w:r w:rsidRPr="004F38AD">
        <w:t xml:space="preserve">gradovi je razviti </w:t>
      </w:r>
      <w:r>
        <w:t>centre za urbane resurse</w:t>
      </w:r>
      <w:r w:rsidRPr="004F38AD">
        <w:t xml:space="preserve"> i prikazati uspješne primjere. Videozapisi mogu biti od velike koristi za to, jer su videozapisi brzi i učinkoviti i često mogu privući veliku </w:t>
      </w:r>
      <w:r>
        <w:t>pozornost javnosti</w:t>
      </w:r>
      <w:r w:rsidRPr="004F38AD">
        <w:t>. Osobito za ljude koji s</w:t>
      </w:r>
      <w:r w:rsidR="00D05D5B">
        <w:t xml:space="preserve">e prvi put </w:t>
      </w:r>
      <w:r w:rsidR="005812A9">
        <w:t>su</w:t>
      </w:r>
      <w:r w:rsidR="00D05D5B">
        <w:t xml:space="preserve">sreću s </w:t>
      </w:r>
      <w:proofErr w:type="spellStart"/>
      <w:r w:rsidR="005812A9">
        <w:t>c</w:t>
      </w:r>
      <w:r w:rsidR="002D5438" w:rsidRPr="002D5438">
        <w:t>entar</w:t>
      </w:r>
      <w:r w:rsidR="002D5438">
        <w:t>ima</w:t>
      </w:r>
      <w:proofErr w:type="spellEnd"/>
      <w:r w:rsidR="002D5438" w:rsidRPr="002D5438">
        <w:t xml:space="preserve"> za urbane resurse</w:t>
      </w:r>
      <w:r w:rsidRPr="004F38AD">
        <w:t>, videozapisi daju građanima uvid 'stvarn</w:t>
      </w:r>
      <w:r w:rsidR="00D05D5B">
        <w:t>og</w:t>
      </w:r>
      <w:r w:rsidRPr="004F38AD">
        <w:t xml:space="preserve"> život</w:t>
      </w:r>
      <w:r w:rsidR="00D05D5B">
        <w:t>a</w:t>
      </w:r>
      <w:r w:rsidRPr="004F38AD">
        <w:t xml:space="preserve">' u </w:t>
      </w:r>
      <w:r>
        <w:t>centru za urbane resurse</w:t>
      </w:r>
      <w:r w:rsidRPr="004F38AD">
        <w:t xml:space="preserve"> i </w:t>
      </w:r>
      <w:r w:rsidR="00D05D5B">
        <w:t>mogućnost</w:t>
      </w:r>
      <w:r w:rsidRPr="004F38AD">
        <w:t xml:space="preserve"> posjete </w:t>
      </w:r>
      <w:r>
        <w:t>isti</w:t>
      </w:r>
      <w:r w:rsidR="00096316">
        <w:t>h</w:t>
      </w:r>
      <w:r w:rsidRPr="004F38AD">
        <w:t>. Uz to, može nadahnuti i potaknuti kreatore politik</w:t>
      </w:r>
      <w:r w:rsidR="00FC6344">
        <w:t>a</w:t>
      </w:r>
      <w:r w:rsidRPr="004F38AD">
        <w:t xml:space="preserve"> koji su novi </w:t>
      </w:r>
      <w:r w:rsidR="005405C8">
        <w:t>u ovo</w:t>
      </w:r>
      <w:r w:rsidR="0024283E">
        <w:t>m</w:t>
      </w:r>
      <w:r w:rsidR="005405C8">
        <w:t xml:space="preserve"> p</w:t>
      </w:r>
      <w:r w:rsidR="0024283E">
        <w:t>odručju</w:t>
      </w:r>
      <w:r w:rsidRPr="004F38AD">
        <w:t xml:space="preserve"> da istraže mogućnosti za otvaranje </w:t>
      </w:r>
      <w:r>
        <w:t>cent</w:t>
      </w:r>
      <w:r w:rsidR="005812A9">
        <w:t>a</w:t>
      </w:r>
      <w:r>
        <w:t>ra za urbane res</w:t>
      </w:r>
      <w:r w:rsidR="00081DAF">
        <w:t>u</w:t>
      </w:r>
      <w:r>
        <w:t>rse</w:t>
      </w:r>
      <w:r w:rsidRPr="004F38AD">
        <w:t xml:space="preserve">. YouTube će služiti kao glavni kanal za pohranu videozapisa, no oni se mogu dijeliti </w:t>
      </w:r>
      <w:r w:rsidR="00B83F81">
        <w:t xml:space="preserve">i </w:t>
      </w:r>
      <w:r w:rsidRPr="004F38AD">
        <w:t xml:space="preserve">na nekoliko platformi poput kanala na društvenim mrežama i </w:t>
      </w:r>
      <w:proofErr w:type="spellStart"/>
      <w:r w:rsidRPr="004F38AD">
        <w:t>Linked</w:t>
      </w:r>
      <w:r w:rsidR="00A501A9">
        <w:t>i</w:t>
      </w:r>
      <w:r w:rsidRPr="004F38AD">
        <w:t>n</w:t>
      </w:r>
      <w:proofErr w:type="spellEnd"/>
      <w:r w:rsidR="00081DAF">
        <w:t>-</w:t>
      </w:r>
      <w:r w:rsidRPr="004F38AD">
        <w:t>a.</w:t>
      </w:r>
    </w:p>
    <w:p w:rsidR="004C4A3C" w:rsidRDefault="004C4A3C" w:rsidP="00CF6C03"/>
    <w:p w:rsidR="00CF6C03" w:rsidRDefault="004C4A3C" w:rsidP="00CF6C03">
      <w:pPr>
        <w:rPr>
          <w:b/>
        </w:rPr>
      </w:pPr>
      <w:r w:rsidRPr="004C4A3C">
        <w:rPr>
          <w:b/>
        </w:rPr>
        <w:t>6. Modeli i alati</w:t>
      </w:r>
    </w:p>
    <w:p w:rsidR="004C4A3C" w:rsidRPr="004C4A3C" w:rsidRDefault="004C4A3C" w:rsidP="00CF6C03">
      <w:pPr>
        <w:rPr>
          <w:b/>
        </w:rPr>
      </w:pPr>
    </w:p>
    <w:p w:rsidR="009A2728" w:rsidRDefault="009A2728" w:rsidP="009A2728">
      <w:r w:rsidRPr="009A2728">
        <w:t>Opći okvir ili metodologije korišteni za aktivnosti komunikacije i širenja podijelit će se u tri modela:</w:t>
      </w:r>
    </w:p>
    <w:p w:rsidR="00CF6C03" w:rsidRPr="00CF6C03" w:rsidRDefault="00CF6C03" w:rsidP="001A3110">
      <w:pPr>
        <w:ind w:firstLine="708"/>
      </w:pPr>
      <w:r w:rsidRPr="00CF6C03">
        <w:t xml:space="preserve">• </w:t>
      </w:r>
      <w:r w:rsidR="009A2728" w:rsidRPr="009A2728">
        <w:t>AIDA model (E. Lewis) na mrežnoj razini</w:t>
      </w:r>
    </w:p>
    <w:p w:rsidR="00457F85" w:rsidRDefault="00CF6C03" w:rsidP="001A3110">
      <w:pPr>
        <w:ind w:firstLine="708"/>
      </w:pPr>
      <w:r w:rsidRPr="00CF6C03">
        <w:t xml:space="preserve">• </w:t>
      </w:r>
      <w:proofErr w:type="spellStart"/>
      <w:r w:rsidR="00A00635">
        <w:t>Onion</w:t>
      </w:r>
      <w:proofErr w:type="spellEnd"/>
      <w:r w:rsidR="00A00635">
        <w:t xml:space="preserve"> Model </w:t>
      </w:r>
      <w:proofErr w:type="spellStart"/>
      <w:r w:rsidR="00A00635">
        <w:t>of</w:t>
      </w:r>
      <w:proofErr w:type="spellEnd"/>
      <w:r w:rsidR="00A00635">
        <w:t xml:space="preserve"> </w:t>
      </w:r>
      <w:proofErr w:type="spellStart"/>
      <w:r w:rsidR="00A00635">
        <w:t>Culture</w:t>
      </w:r>
      <w:proofErr w:type="spellEnd"/>
      <w:r w:rsidR="00457F85" w:rsidRPr="00457F85">
        <w:t xml:space="preserve"> (G. </w:t>
      </w:r>
      <w:proofErr w:type="spellStart"/>
      <w:r w:rsidR="00457F85" w:rsidRPr="00457F85">
        <w:t>Hofstede</w:t>
      </w:r>
      <w:proofErr w:type="spellEnd"/>
      <w:r w:rsidR="00457F85" w:rsidRPr="00457F85">
        <w:t>) na lokalnoj razini</w:t>
      </w:r>
    </w:p>
    <w:p w:rsidR="00CF6C03" w:rsidRDefault="00CF6C03" w:rsidP="001A3110">
      <w:pPr>
        <w:ind w:firstLine="708"/>
      </w:pPr>
      <w:r w:rsidRPr="00CF6C03">
        <w:t xml:space="preserve">• </w:t>
      </w:r>
      <w:r w:rsidR="00DA0345" w:rsidRPr="00DA0345">
        <w:t>WEDA model za uzajamne potrebe dionika i projekta na lokalnoj razini</w:t>
      </w:r>
    </w:p>
    <w:p w:rsidR="00D214D3" w:rsidRPr="00CF6C03" w:rsidRDefault="00D214D3" w:rsidP="00CF6C03"/>
    <w:p w:rsidR="00CF6C03" w:rsidRDefault="00D214D3" w:rsidP="00CF6C03">
      <w:r w:rsidRPr="00D214D3">
        <w:t>6.1. Modeli</w:t>
      </w:r>
    </w:p>
    <w:p w:rsidR="00CF6C03" w:rsidRDefault="00392843" w:rsidP="001A3110">
      <w:pPr>
        <w:jc w:val="both"/>
      </w:pPr>
      <w:r w:rsidRPr="00A00635">
        <w:rPr>
          <w:b/>
        </w:rPr>
        <w:lastRenderedPageBreak/>
        <w:t>Metodologija AIDA</w:t>
      </w:r>
      <w:r w:rsidRPr="00392843">
        <w:t xml:space="preserve"> (tj. </w:t>
      </w:r>
      <w:r w:rsidR="00256F5D">
        <w:t>s</w:t>
      </w:r>
      <w:r w:rsidRPr="00392843">
        <w:t xml:space="preserve">vijest, interes, želja i djelovanje) koristi se na </w:t>
      </w:r>
      <w:r w:rsidRPr="00562ACC">
        <w:rPr>
          <w:b/>
        </w:rPr>
        <w:t>mrežnoj razini</w:t>
      </w:r>
      <w:r w:rsidRPr="00392843">
        <w:t xml:space="preserve"> za predstavljanje mreže </w:t>
      </w:r>
      <w:r>
        <w:t>Održivi</w:t>
      </w:r>
      <w:r w:rsidRPr="00392843">
        <w:t xml:space="preserve"> gradovi, koncepta </w:t>
      </w:r>
      <w:r>
        <w:t>centara za urbane resurse</w:t>
      </w:r>
      <w:r w:rsidRPr="00392843">
        <w:t xml:space="preserve"> i programa URBACT široj publici u cilju poticanja angažmana i uključivanja </w:t>
      </w:r>
      <w:r w:rsidR="001A3110">
        <w:t>u</w:t>
      </w:r>
      <w:r w:rsidRPr="00392843">
        <w:t xml:space="preserve"> mrež</w:t>
      </w:r>
      <w:r w:rsidR="001A3110">
        <w:t>u</w:t>
      </w:r>
      <w:r w:rsidRPr="00392843">
        <w:t xml:space="preserve"> </w:t>
      </w:r>
      <w:r w:rsidR="00DA2AC0" w:rsidRPr="00DA2AC0">
        <w:t>Održivi gradovi</w:t>
      </w:r>
      <w:r w:rsidR="00DA2AC0">
        <w:t xml:space="preserve">, </w:t>
      </w:r>
      <w:r w:rsidRPr="00392843">
        <w:t>njezin</w:t>
      </w:r>
      <w:r w:rsidR="001A3110">
        <w:t>e</w:t>
      </w:r>
      <w:r w:rsidRPr="00392843">
        <w:t xml:space="preserve"> konačn</w:t>
      </w:r>
      <w:r w:rsidR="001A3110">
        <w:t>e</w:t>
      </w:r>
      <w:r w:rsidRPr="00392843">
        <w:t xml:space="preserve"> rezultat</w:t>
      </w:r>
      <w:r w:rsidR="001A3110">
        <w:t>e</w:t>
      </w:r>
      <w:r w:rsidRPr="00392843">
        <w:t xml:space="preserve"> i URBACT program.</w:t>
      </w:r>
    </w:p>
    <w:p w:rsidR="00A00635" w:rsidRDefault="00A00635" w:rsidP="00CF6C03"/>
    <w:p w:rsidR="007E6AF6" w:rsidRDefault="00A00635" w:rsidP="004A3743">
      <w:pPr>
        <w:jc w:val="both"/>
      </w:pPr>
      <w:proofErr w:type="spellStart"/>
      <w:r w:rsidRPr="00A00635">
        <w:rPr>
          <w:b/>
        </w:rPr>
        <w:t>Onion</w:t>
      </w:r>
      <w:proofErr w:type="spellEnd"/>
      <w:r w:rsidRPr="00A00635">
        <w:rPr>
          <w:b/>
        </w:rPr>
        <w:t xml:space="preserve"> Model </w:t>
      </w:r>
      <w:proofErr w:type="spellStart"/>
      <w:r w:rsidRPr="00A00635">
        <w:rPr>
          <w:b/>
        </w:rPr>
        <w:t>of</w:t>
      </w:r>
      <w:proofErr w:type="spellEnd"/>
      <w:r w:rsidRPr="00A00635">
        <w:rPr>
          <w:b/>
        </w:rPr>
        <w:t xml:space="preserve"> </w:t>
      </w:r>
      <w:proofErr w:type="spellStart"/>
      <w:r w:rsidRPr="00A00635">
        <w:rPr>
          <w:b/>
        </w:rPr>
        <w:t>Culture</w:t>
      </w:r>
      <w:proofErr w:type="spellEnd"/>
      <w:r w:rsidRPr="00A00635">
        <w:t xml:space="preserve"> </w:t>
      </w:r>
      <w:r w:rsidR="000627EF" w:rsidRPr="000627EF">
        <w:t xml:space="preserve">(tj. </w:t>
      </w:r>
      <w:r w:rsidR="00256F5D">
        <w:t>v</w:t>
      </w:r>
      <w:r w:rsidR="000627EF" w:rsidRPr="000627EF">
        <w:t xml:space="preserve">rijednosti, rituali, junaci i simboli) </w:t>
      </w:r>
      <w:r w:rsidR="004F7124" w:rsidRPr="000627EF">
        <w:t xml:space="preserve">se </w:t>
      </w:r>
      <w:r w:rsidR="000627EF" w:rsidRPr="000627EF">
        <w:t xml:space="preserve">koristi na </w:t>
      </w:r>
      <w:r w:rsidR="000627EF" w:rsidRPr="00A00635">
        <w:rPr>
          <w:b/>
          <w:u w:val="single"/>
        </w:rPr>
        <w:t>lokalnoj razini</w:t>
      </w:r>
      <w:r w:rsidR="000627EF" w:rsidRPr="000627EF">
        <w:t xml:space="preserve"> (</w:t>
      </w:r>
      <w:r w:rsidR="004A7D64" w:rsidRPr="004A7D64">
        <w:t xml:space="preserve">URBACT lokalna radna skupina </w:t>
      </w:r>
      <w:r w:rsidR="000627EF" w:rsidRPr="000627EF">
        <w:t xml:space="preserve">i </w:t>
      </w:r>
      <w:r w:rsidR="0054290E" w:rsidRPr="0054290E">
        <w:t>Centar za urbane resurse</w:t>
      </w:r>
      <w:r w:rsidR="000627EF" w:rsidRPr="000627EF">
        <w:t xml:space="preserve">) jer je </w:t>
      </w:r>
      <w:r w:rsidR="00DA2AC0" w:rsidRPr="000627EF">
        <w:t xml:space="preserve">glavni cilj </w:t>
      </w:r>
      <w:r w:rsidR="000627EF" w:rsidRPr="000627EF">
        <w:t>mrež</w:t>
      </w:r>
      <w:r w:rsidR="004A3743">
        <w:t>e</w:t>
      </w:r>
      <w:r w:rsidR="000627EF" w:rsidRPr="000627EF">
        <w:t xml:space="preserve"> </w:t>
      </w:r>
      <w:r w:rsidR="000627EF">
        <w:t>Održivi</w:t>
      </w:r>
      <w:r w:rsidR="000627EF" w:rsidRPr="000627EF">
        <w:t xml:space="preserve"> gradov</w:t>
      </w:r>
      <w:r w:rsidR="004A3743">
        <w:t>i</w:t>
      </w:r>
      <w:r w:rsidR="000627EF" w:rsidRPr="000627EF">
        <w:t xml:space="preserve"> i </w:t>
      </w:r>
      <w:r w:rsidR="000627EF">
        <w:t>cent</w:t>
      </w:r>
      <w:r w:rsidR="004A3743">
        <w:t>a</w:t>
      </w:r>
      <w:r w:rsidR="000627EF">
        <w:t>r</w:t>
      </w:r>
      <w:r w:rsidR="004A3743">
        <w:t>a</w:t>
      </w:r>
      <w:r w:rsidR="000627EF">
        <w:t xml:space="preserve"> za urbane resurse</w:t>
      </w:r>
      <w:r w:rsidR="000627EF" w:rsidRPr="000627EF">
        <w:t xml:space="preserve"> na lokalnoj razini stvoriti nov</w:t>
      </w:r>
      <w:r w:rsidR="004F7124">
        <w:t xml:space="preserve">e primjere </w:t>
      </w:r>
      <w:r w:rsidR="000627EF" w:rsidRPr="000627EF">
        <w:t>ili novu kultur</w:t>
      </w:r>
      <w:r w:rsidR="004F7124">
        <w:t>u</w:t>
      </w:r>
      <w:r w:rsidR="000627EF" w:rsidRPr="000627EF">
        <w:t xml:space="preserve"> kroz koju se materijali </w:t>
      </w:r>
      <w:r w:rsidR="004A3743">
        <w:t xml:space="preserve">za otpad </w:t>
      </w:r>
      <w:r w:rsidR="0035591E" w:rsidRPr="0035591E">
        <w:t>pre</w:t>
      </w:r>
      <w:r w:rsidR="004A3743">
        <w:t>tvaraju</w:t>
      </w:r>
      <w:r w:rsidR="0035591E" w:rsidRPr="0035591E">
        <w:t xml:space="preserve"> </w:t>
      </w:r>
      <w:r w:rsidR="004A3743">
        <w:t>u</w:t>
      </w:r>
      <w:r w:rsidR="0035591E" w:rsidRPr="0035591E">
        <w:t xml:space="preserve"> resurs</w:t>
      </w:r>
      <w:r w:rsidR="004A3743">
        <w:t>e</w:t>
      </w:r>
      <w:r w:rsidR="0035591E" w:rsidRPr="0035591E">
        <w:t>.</w:t>
      </w:r>
    </w:p>
    <w:p w:rsidR="009D7AAB" w:rsidRDefault="007E6AF6" w:rsidP="000A5B26">
      <w:pPr>
        <w:ind w:firstLine="708"/>
        <w:jc w:val="both"/>
      </w:pPr>
      <w:r w:rsidRPr="007E6AF6">
        <w:t xml:space="preserve">• </w:t>
      </w:r>
      <w:r w:rsidR="009D7AAB" w:rsidRPr="009D7AAB">
        <w:t xml:space="preserve">Vrijednosti: </w:t>
      </w:r>
      <w:r w:rsidR="009D7AAB">
        <w:t>samu bit</w:t>
      </w:r>
      <w:r w:rsidR="009D7AAB" w:rsidRPr="009D7AAB">
        <w:t xml:space="preserve"> svakog komunikacijskog napora čine vrijednosti ili ideja onoga što se smatra važnim za zajednicu. Prve aktivnosti usredotočit će se na formuliranje i dijeljenje vrijednosti koje su ključne za koncept </w:t>
      </w:r>
      <w:r w:rsidR="009D7AAB">
        <w:t>centara za urbane resurse</w:t>
      </w:r>
      <w:r w:rsidR="009D7AAB" w:rsidRPr="009D7AAB">
        <w:t>.</w:t>
      </w:r>
      <w:r w:rsidR="00C172FF">
        <w:t xml:space="preserve"> </w:t>
      </w:r>
    </w:p>
    <w:p w:rsidR="00466D7B" w:rsidRDefault="007E6AF6" w:rsidP="000A5B26">
      <w:pPr>
        <w:ind w:firstLine="708"/>
        <w:jc w:val="both"/>
      </w:pPr>
      <w:r w:rsidRPr="007E6AF6">
        <w:t xml:space="preserve">• </w:t>
      </w:r>
      <w:r w:rsidR="00466D7B" w:rsidRPr="00466D7B">
        <w:t xml:space="preserve">Rituali i kolektivne aktivnosti: oblikovanje nesvjesnog uma </w:t>
      </w:r>
      <w:r w:rsidR="00331FE0">
        <w:t>koji je</w:t>
      </w:r>
      <w:r w:rsidR="00466D7B" w:rsidRPr="00466D7B">
        <w:t xml:space="preserve"> bit</w:t>
      </w:r>
      <w:r w:rsidR="00331FE0">
        <w:t>an</w:t>
      </w:r>
      <w:r w:rsidR="00466D7B" w:rsidRPr="00466D7B">
        <w:t xml:space="preserve"> za svaku kulturu. Na lokalnoj razini to se može pre</w:t>
      </w:r>
      <w:r w:rsidR="00466D7B">
        <w:t xml:space="preserve">nijeti na </w:t>
      </w:r>
      <w:r w:rsidR="00466D7B" w:rsidRPr="00466D7B">
        <w:t xml:space="preserve">članove </w:t>
      </w:r>
      <w:r w:rsidR="002D4CDB" w:rsidRPr="002D4CDB">
        <w:t>URBACT lokaln</w:t>
      </w:r>
      <w:r w:rsidR="002D4CDB">
        <w:t>e</w:t>
      </w:r>
      <w:r w:rsidR="002D4CDB" w:rsidRPr="002D4CDB">
        <w:t xml:space="preserve"> radn</w:t>
      </w:r>
      <w:r w:rsidR="002D4CDB">
        <w:t>e</w:t>
      </w:r>
      <w:r w:rsidR="002D4CDB" w:rsidRPr="002D4CDB">
        <w:t xml:space="preserve"> skupin</w:t>
      </w:r>
      <w:r w:rsidR="002D4CDB">
        <w:t>e</w:t>
      </w:r>
      <w:r w:rsidR="00466D7B" w:rsidRPr="00466D7B">
        <w:t xml:space="preserve"> koji osmišljavaju </w:t>
      </w:r>
      <w:r w:rsidR="00C172FF">
        <w:t>aktivnosti</w:t>
      </w:r>
      <w:r w:rsidR="00466D7B" w:rsidRPr="00466D7B">
        <w:t xml:space="preserve"> u rasponu od mjesečnih okupljanja do godišnjih javnih događa</w:t>
      </w:r>
      <w:r w:rsidR="00466D7B">
        <w:t>n</w:t>
      </w:r>
      <w:r w:rsidR="00466D7B" w:rsidRPr="00466D7B">
        <w:t>ja.</w:t>
      </w:r>
    </w:p>
    <w:p w:rsidR="00FF6E45" w:rsidRDefault="007E6AF6" w:rsidP="000A5B26">
      <w:pPr>
        <w:ind w:firstLine="708"/>
        <w:jc w:val="both"/>
      </w:pPr>
      <w:r w:rsidRPr="007E6AF6">
        <w:t xml:space="preserve">• </w:t>
      </w:r>
      <w:r w:rsidR="004A37E2" w:rsidRPr="004A37E2">
        <w:t xml:space="preserve">Heroji: </w:t>
      </w:r>
      <w:r w:rsidR="00315890">
        <w:t>osiguranje/</w:t>
      </w:r>
      <w:r w:rsidR="004A37E2" w:rsidRPr="004A37E2">
        <w:t xml:space="preserve">pružanje pozornice lokalnim </w:t>
      </w:r>
      <w:proofErr w:type="spellStart"/>
      <w:r w:rsidR="008423C4">
        <w:t>tvtkama</w:t>
      </w:r>
      <w:proofErr w:type="spellEnd"/>
      <w:r w:rsidR="004A37E2" w:rsidRPr="004A37E2">
        <w:t xml:space="preserve"> ili pojedincima koji sudjeluju u kružnom gospodarstvu i </w:t>
      </w:r>
      <w:r w:rsidR="008423C4">
        <w:t>ocrtavaju</w:t>
      </w:r>
      <w:r w:rsidR="004A37E2" w:rsidRPr="004A37E2">
        <w:t xml:space="preserve"> vrijednosti</w:t>
      </w:r>
      <w:r w:rsidR="004A37E2">
        <w:t xml:space="preserve"> </w:t>
      </w:r>
      <w:r w:rsidR="00C55C45">
        <w:t>centra</w:t>
      </w:r>
      <w:r w:rsidR="004A37E2">
        <w:t xml:space="preserve"> za </w:t>
      </w:r>
      <w:proofErr w:type="spellStart"/>
      <w:r w:rsidR="004A37E2">
        <w:t>urbene</w:t>
      </w:r>
      <w:proofErr w:type="spellEnd"/>
      <w:r w:rsidR="004A37E2">
        <w:t xml:space="preserve"> resurse na</w:t>
      </w:r>
      <w:r w:rsidR="004A37E2" w:rsidRPr="004A37E2">
        <w:t xml:space="preserve"> način pružanja (kružnih) akcijskih perspektiva lokalnoj zajednici. </w:t>
      </w:r>
    </w:p>
    <w:p w:rsidR="007E6AF6" w:rsidRDefault="007E6AF6" w:rsidP="000A5B26">
      <w:pPr>
        <w:ind w:firstLine="708"/>
        <w:jc w:val="both"/>
      </w:pPr>
      <w:r w:rsidRPr="007E6AF6">
        <w:t xml:space="preserve">• </w:t>
      </w:r>
      <w:r w:rsidR="0082180C" w:rsidRPr="0082180C">
        <w:t xml:space="preserve">Simboli: Stvaranje simbola koji predstavljaju vrijednosti i kulturu mreže </w:t>
      </w:r>
      <w:r w:rsidR="0082180C">
        <w:t>Održivih</w:t>
      </w:r>
      <w:r w:rsidR="0082180C" w:rsidRPr="0082180C">
        <w:t xml:space="preserve"> gradova i </w:t>
      </w:r>
      <w:r w:rsidR="0082180C">
        <w:t>centara za urbane resurse</w:t>
      </w:r>
      <w:r w:rsidR="0082180C" w:rsidRPr="0082180C">
        <w:t xml:space="preserve"> vrlo je </w:t>
      </w:r>
      <w:r w:rsidR="00C6633B">
        <w:t>širok</w:t>
      </w:r>
      <w:r w:rsidR="0082180C">
        <w:t xml:space="preserve"> i </w:t>
      </w:r>
      <w:r w:rsidR="0082180C" w:rsidRPr="0082180C">
        <w:t xml:space="preserve">dostupan način komunikacije </w:t>
      </w:r>
      <w:r w:rsidR="0082180C">
        <w:t xml:space="preserve">prema </w:t>
      </w:r>
      <w:r w:rsidR="003477E1">
        <w:t xml:space="preserve">većem broju građana na </w:t>
      </w:r>
      <w:r w:rsidR="0082180C" w:rsidRPr="0082180C">
        <w:t xml:space="preserve">lokalnoj </w:t>
      </w:r>
      <w:r w:rsidR="003477E1">
        <w:t>razini</w:t>
      </w:r>
      <w:r w:rsidR="0082180C" w:rsidRPr="0082180C">
        <w:t>.</w:t>
      </w:r>
    </w:p>
    <w:p w:rsidR="00FF6E45" w:rsidRDefault="00FF6E45" w:rsidP="007E6AF6"/>
    <w:p w:rsidR="007E6AF6" w:rsidRDefault="00302A48" w:rsidP="0058649E">
      <w:pPr>
        <w:jc w:val="both"/>
      </w:pPr>
      <w:r w:rsidRPr="00302A48">
        <w:t xml:space="preserve">WEDA model (WEDA je (nizozemska) kratica za model uzajamne ovisnosti). Formulirajući ovisnost o mreži i lokalnoj razini, upoznajemo potrebe dionika u odnosu na potrebe projekta. Znajući to olakšava </w:t>
      </w:r>
      <w:r w:rsidR="00247DA4">
        <w:t xml:space="preserve">se </w:t>
      </w:r>
      <w:r w:rsidRPr="00302A48">
        <w:t xml:space="preserve">prikupljanje pravih informacija, </w:t>
      </w:r>
      <w:r w:rsidR="00247DA4" w:rsidRPr="00302A48">
        <w:t xml:space="preserve">aktivnosti </w:t>
      </w:r>
      <w:r w:rsidRPr="00302A48">
        <w:t>komunikacij</w:t>
      </w:r>
      <w:r w:rsidR="00247DA4">
        <w:t>e</w:t>
      </w:r>
      <w:r w:rsidRPr="00302A48">
        <w:t xml:space="preserve"> i pronalaženje </w:t>
      </w:r>
      <w:r w:rsidR="0058649E">
        <w:t>pravog načina</w:t>
      </w:r>
      <w:r w:rsidRPr="00302A48">
        <w:t xml:space="preserve">. U suradnji se </w:t>
      </w:r>
      <w:r w:rsidR="0058649E">
        <w:t xml:space="preserve">navedena </w:t>
      </w:r>
      <w:r w:rsidRPr="00302A48">
        <w:t xml:space="preserve">tri modela </w:t>
      </w:r>
      <w:r w:rsidR="0058649E">
        <w:t xml:space="preserve">mogu nadopunjavati </w:t>
      </w:r>
      <w:r w:rsidRPr="00302A48">
        <w:t xml:space="preserve">radi razmjene iskustava i prilika u različitim lokalnim situacijama. </w:t>
      </w:r>
      <w:r w:rsidR="0058649E">
        <w:t xml:space="preserve">Partnerima će se </w:t>
      </w:r>
      <w:proofErr w:type="spellStart"/>
      <w:r w:rsidR="0058649E">
        <w:t>origurati</w:t>
      </w:r>
      <w:proofErr w:type="spellEnd"/>
      <w:r w:rsidR="0058649E">
        <w:t xml:space="preserve"> temelj za web dionika.</w:t>
      </w:r>
    </w:p>
    <w:p w:rsidR="00FF6E45" w:rsidRDefault="00FF6E45" w:rsidP="007E6AF6"/>
    <w:p w:rsidR="007E6AF6" w:rsidRDefault="00E46580" w:rsidP="007E6AF6">
      <w:r w:rsidRPr="00E46580">
        <w:t>6.2. Alati</w:t>
      </w:r>
    </w:p>
    <w:p w:rsidR="00FF6E45" w:rsidRDefault="00FF6E45" w:rsidP="007E6AF6">
      <w:r w:rsidRPr="00FF6E45">
        <w:t xml:space="preserve">Za provođenje integriranih komunikacijskih </w:t>
      </w:r>
      <w:r w:rsidR="00ED274F">
        <w:t>aktivnosti</w:t>
      </w:r>
      <w:r w:rsidRPr="00FF6E45">
        <w:t xml:space="preserve"> unutar tih modela odabrani su sljedeći alati</w:t>
      </w:r>
      <w:r w:rsidR="00EA2A2D">
        <w:t>:</w:t>
      </w:r>
    </w:p>
    <w:p w:rsidR="003862E6" w:rsidRDefault="007E6AF6" w:rsidP="001C5139">
      <w:pPr>
        <w:ind w:firstLine="708"/>
        <w:jc w:val="both"/>
      </w:pPr>
      <w:r w:rsidRPr="007E6AF6">
        <w:t xml:space="preserve">1. </w:t>
      </w:r>
      <w:r w:rsidR="003862E6" w:rsidRPr="003862E6">
        <w:t xml:space="preserve">Organiziranje </w:t>
      </w:r>
      <w:proofErr w:type="spellStart"/>
      <w:r w:rsidR="000B04C7">
        <w:t>zajediničkih</w:t>
      </w:r>
      <w:proofErr w:type="spellEnd"/>
      <w:r w:rsidR="000B04C7">
        <w:t xml:space="preserve"> </w:t>
      </w:r>
      <w:r w:rsidR="00B731FB">
        <w:t>sastanaka</w:t>
      </w:r>
      <w:r w:rsidR="003862E6" w:rsidRPr="003862E6">
        <w:t xml:space="preserve"> s lokalnim dionicima radi formuliranja </w:t>
      </w:r>
      <w:r w:rsidR="000B04C7">
        <w:t>ključnih</w:t>
      </w:r>
      <w:r w:rsidR="003862E6" w:rsidRPr="003862E6">
        <w:t xml:space="preserve"> vrijednosti za lokalnu komunikaciju te u</w:t>
      </w:r>
      <w:r w:rsidR="000B04C7">
        <w:t>obličavanja</w:t>
      </w:r>
      <w:r w:rsidR="003862E6" w:rsidRPr="003862E6">
        <w:t xml:space="preserve"> i praćenja tih vrijednosti. Štoviše, projektni će partneri sudjelovati u formuliranju </w:t>
      </w:r>
      <w:r w:rsidR="000B04C7">
        <w:t>ključnih</w:t>
      </w:r>
      <w:r w:rsidR="003862E6" w:rsidRPr="003862E6">
        <w:t xml:space="preserve"> vrijednosti mreže </w:t>
      </w:r>
      <w:r w:rsidR="003862E6">
        <w:t>Održivi</w:t>
      </w:r>
      <w:r w:rsidR="003862E6" w:rsidRPr="003862E6">
        <w:t xml:space="preserve"> gradovi u cjelini.</w:t>
      </w:r>
    </w:p>
    <w:p w:rsidR="00175B81" w:rsidRDefault="007E6AF6" w:rsidP="001C5139">
      <w:pPr>
        <w:ind w:firstLine="708"/>
        <w:jc w:val="both"/>
      </w:pPr>
      <w:r w:rsidRPr="007E6AF6">
        <w:t xml:space="preserve">2. </w:t>
      </w:r>
      <w:r w:rsidR="000B04C7">
        <w:t>(Su-) organiziranje i/</w:t>
      </w:r>
      <w:r w:rsidR="00175B81" w:rsidRPr="00175B81">
        <w:t xml:space="preserve">ili sudjelovanje u lokalnim događanjima i aktivnostima radi dosezanja šire lokalne publike i pripreme terena za aktivaciju </w:t>
      </w:r>
      <w:r w:rsidR="000B04C7">
        <w:t>Integracijskog</w:t>
      </w:r>
      <w:r w:rsidR="00175B81">
        <w:t xml:space="preserve"> akcijskog plana</w:t>
      </w:r>
      <w:r w:rsidR="00175B81" w:rsidRPr="00175B81">
        <w:t>.</w:t>
      </w:r>
    </w:p>
    <w:p w:rsidR="007E6AF6" w:rsidRPr="007E6AF6" w:rsidRDefault="007E6AF6" w:rsidP="001C5139">
      <w:pPr>
        <w:ind w:firstLine="708"/>
        <w:jc w:val="both"/>
      </w:pPr>
      <w:r w:rsidRPr="007E6AF6">
        <w:t xml:space="preserve">3. </w:t>
      </w:r>
      <w:r w:rsidR="000B04C7">
        <w:t>Pron</w:t>
      </w:r>
      <w:r w:rsidR="00B05D1B">
        <w:t>aći</w:t>
      </w:r>
      <w:r w:rsidR="00C33D0B" w:rsidRPr="00C33D0B">
        <w:t xml:space="preserve"> lokalne ‘heroje’ i izložiti ih na lokalnim platformama </w:t>
      </w:r>
      <w:r w:rsidR="00B05D1B">
        <w:t xml:space="preserve">te </w:t>
      </w:r>
      <w:r w:rsidR="00C33D0B" w:rsidRPr="00C33D0B">
        <w:t xml:space="preserve">povezati </w:t>
      </w:r>
      <w:r w:rsidR="00B05D1B">
        <w:t xml:space="preserve">s </w:t>
      </w:r>
      <w:r w:rsidR="004106B2">
        <w:t>međunarodnom</w:t>
      </w:r>
      <w:r w:rsidR="00C33D0B" w:rsidRPr="00C33D0B">
        <w:t xml:space="preserve"> razmjenom i učenjem.</w:t>
      </w:r>
    </w:p>
    <w:p w:rsidR="008C7F22" w:rsidRDefault="00165892" w:rsidP="00A13C02">
      <w:pPr>
        <w:ind w:firstLine="708"/>
        <w:jc w:val="both"/>
      </w:pPr>
      <w:r w:rsidRPr="00165892">
        <w:lastRenderedPageBreak/>
        <w:t xml:space="preserve">4. </w:t>
      </w:r>
      <w:r w:rsidR="008C7F22" w:rsidRPr="008C7F22">
        <w:t xml:space="preserve">Stvaranje simbola koji </w:t>
      </w:r>
      <w:r w:rsidR="00A13C02">
        <w:t xml:space="preserve">bi </w:t>
      </w:r>
      <w:r w:rsidR="008C7F22" w:rsidRPr="008C7F22">
        <w:t>predstavlja</w:t>
      </w:r>
      <w:r w:rsidR="00A13C02">
        <w:t>o</w:t>
      </w:r>
      <w:r w:rsidR="008C7F22" w:rsidRPr="008C7F22">
        <w:t xml:space="preserve"> lokalni </w:t>
      </w:r>
      <w:r w:rsidR="008C7F22">
        <w:t>Centar za urbane resurse</w:t>
      </w:r>
      <w:r w:rsidR="008C7F22" w:rsidRPr="008C7F22">
        <w:t xml:space="preserve"> koji će se koristiti u lokalnim i </w:t>
      </w:r>
      <w:r w:rsidR="004106B2">
        <w:t xml:space="preserve">međunarodnim </w:t>
      </w:r>
      <w:r w:rsidR="008C7F22" w:rsidRPr="008C7F22">
        <w:t>alatima i kanalima.</w:t>
      </w:r>
    </w:p>
    <w:p w:rsidR="008C7F22" w:rsidRDefault="00165892" w:rsidP="001C5139">
      <w:pPr>
        <w:ind w:firstLine="708"/>
      </w:pPr>
      <w:r w:rsidRPr="00165892">
        <w:t xml:space="preserve">5. </w:t>
      </w:r>
      <w:r w:rsidR="008C7F22" w:rsidRPr="008C7F22">
        <w:t>Slanje priopćenja za javnost i komunikacija s lokalnim medijima.</w:t>
      </w:r>
    </w:p>
    <w:p w:rsidR="008C7F22" w:rsidRDefault="00165892" w:rsidP="001C5139">
      <w:pPr>
        <w:ind w:firstLine="708"/>
        <w:jc w:val="both"/>
      </w:pPr>
      <w:r w:rsidRPr="00165892">
        <w:t xml:space="preserve">6. </w:t>
      </w:r>
      <w:r w:rsidR="008C7F22" w:rsidRPr="008C7F22">
        <w:t>Stvaranje sadržaja i objavljivanje sadržaja na postojećim kanalima (Twitter i web stranice).</w:t>
      </w:r>
    </w:p>
    <w:p w:rsidR="008C7F22" w:rsidRDefault="00165892" w:rsidP="001C5139">
      <w:pPr>
        <w:ind w:firstLine="708"/>
      </w:pPr>
      <w:r w:rsidRPr="00165892">
        <w:t xml:space="preserve">7. </w:t>
      </w:r>
      <w:r w:rsidR="00EA2A2D" w:rsidRPr="00EA2A2D">
        <w:t xml:space="preserve">Gdje je potrebno prevođenje sadržaja </w:t>
      </w:r>
      <w:proofErr w:type="spellStart"/>
      <w:r w:rsidR="00A13C02">
        <w:t>Mrežee</w:t>
      </w:r>
      <w:proofErr w:type="spellEnd"/>
      <w:r w:rsidR="00A13C02">
        <w:t xml:space="preserve"> </w:t>
      </w:r>
      <w:r w:rsidR="00EA2A2D" w:rsidRPr="00EA2A2D">
        <w:t>na lokalni jezik/kontekst i obrnuto.</w:t>
      </w:r>
    </w:p>
    <w:p w:rsidR="00165892" w:rsidRPr="00165892" w:rsidRDefault="00165892" w:rsidP="001C5139">
      <w:pPr>
        <w:ind w:firstLine="708"/>
      </w:pPr>
      <w:r w:rsidRPr="00165892">
        <w:t xml:space="preserve">8. </w:t>
      </w:r>
      <w:r w:rsidR="008C7F22" w:rsidRPr="008C7F22">
        <w:t>Up</w:t>
      </w:r>
      <w:r w:rsidR="00A13C02">
        <w:t xml:space="preserve">utiti se u </w:t>
      </w:r>
      <w:r w:rsidR="008C7F22" w:rsidRPr="008C7F22">
        <w:t xml:space="preserve">model </w:t>
      </w:r>
      <w:proofErr w:type="spellStart"/>
      <w:r w:rsidRPr="00165892">
        <w:t>Onion</w:t>
      </w:r>
      <w:proofErr w:type="spellEnd"/>
      <w:r w:rsidRPr="00165892">
        <w:t xml:space="preserve"> Model </w:t>
      </w:r>
      <w:proofErr w:type="spellStart"/>
      <w:r w:rsidRPr="00165892">
        <w:t>of</w:t>
      </w:r>
      <w:proofErr w:type="spellEnd"/>
      <w:r w:rsidRPr="00165892">
        <w:t xml:space="preserve"> </w:t>
      </w:r>
      <w:proofErr w:type="spellStart"/>
      <w:r w:rsidRPr="00165892">
        <w:t>Culture</w:t>
      </w:r>
      <w:proofErr w:type="spellEnd"/>
      <w:r w:rsidRPr="00165892">
        <w:t xml:space="preserve">. </w:t>
      </w:r>
    </w:p>
    <w:p w:rsidR="00A65E3E" w:rsidRDefault="00165892" w:rsidP="001C5139">
      <w:pPr>
        <w:ind w:firstLine="708"/>
      </w:pPr>
      <w:r w:rsidRPr="00165892">
        <w:t xml:space="preserve">9. </w:t>
      </w:r>
      <w:r w:rsidR="00EC1C20">
        <w:t>Rad</w:t>
      </w:r>
      <w:r w:rsidR="00A65E3E" w:rsidRPr="00A65E3E">
        <w:t xml:space="preserve"> na vizualnom identitetu projekta objavljivanjem nekoliko fotografija i slika.</w:t>
      </w:r>
    </w:p>
    <w:p w:rsidR="008C7F22" w:rsidRDefault="00165892" w:rsidP="001C5139">
      <w:pPr>
        <w:ind w:firstLine="708"/>
        <w:jc w:val="both"/>
      </w:pPr>
      <w:r w:rsidRPr="00165892">
        <w:t xml:space="preserve">10. </w:t>
      </w:r>
      <w:r w:rsidR="00245087" w:rsidRPr="00245087">
        <w:t>Angažira</w:t>
      </w:r>
      <w:r w:rsidR="00A13C02">
        <w:t>ti</w:t>
      </w:r>
      <w:r w:rsidR="00245087" w:rsidRPr="00245087">
        <w:t xml:space="preserve"> članov</w:t>
      </w:r>
      <w:r w:rsidR="00A13C02">
        <w:t>e</w:t>
      </w:r>
      <w:r w:rsidR="00245087" w:rsidRPr="00245087">
        <w:t xml:space="preserve"> </w:t>
      </w:r>
      <w:r w:rsidR="006345E6" w:rsidRPr="006345E6">
        <w:t>URBACT lokaln</w:t>
      </w:r>
      <w:r w:rsidR="006345E6">
        <w:t>e</w:t>
      </w:r>
      <w:r w:rsidR="006345E6" w:rsidRPr="006345E6">
        <w:t xml:space="preserve"> radn</w:t>
      </w:r>
      <w:r w:rsidR="006345E6">
        <w:t>e</w:t>
      </w:r>
      <w:r w:rsidR="006345E6" w:rsidRPr="006345E6">
        <w:t xml:space="preserve"> skupin</w:t>
      </w:r>
      <w:r w:rsidR="006345E6">
        <w:t>e</w:t>
      </w:r>
      <w:r w:rsidR="00A13C02">
        <w:t xml:space="preserve"> u komunikaciju</w:t>
      </w:r>
      <w:r w:rsidR="00245087" w:rsidRPr="00245087">
        <w:t xml:space="preserve"> i </w:t>
      </w:r>
      <w:r w:rsidR="00A13C02">
        <w:t>razmjenu</w:t>
      </w:r>
      <w:r w:rsidR="006345E6">
        <w:t xml:space="preserve"> mišljenja i razmatranju ideja </w:t>
      </w:r>
      <w:r w:rsidR="00245087" w:rsidRPr="00245087">
        <w:t>kako bi</w:t>
      </w:r>
      <w:r w:rsidR="00A13C02">
        <w:t xml:space="preserve"> </w:t>
      </w:r>
      <w:r w:rsidR="00245087" w:rsidRPr="00245087">
        <w:t>s</w:t>
      </w:r>
      <w:r w:rsidR="00A13C02">
        <w:t>e</w:t>
      </w:r>
      <w:r w:rsidR="00245087" w:rsidRPr="00245087">
        <w:t xml:space="preserve"> </w:t>
      </w:r>
      <w:r w:rsidR="00A13C02">
        <w:t>osigurala</w:t>
      </w:r>
      <w:r w:rsidR="00245087" w:rsidRPr="00245087">
        <w:t xml:space="preserve"> dobr</w:t>
      </w:r>
      <w:r w:rsidR="00A13C02">
        <w:t>a integrirana komunikacija</w:t>
      </w:r>
      <w:r w:rsidR="00245087" w:rsidRPr="00245087">
        <w:t xml:space="preserve"> na lokalnoj razini</w:t>
      </w:r>
      <w:r w:rsidR="006345E6">
        <w:t>.</w:t>
      </w:r>
    </w:p>
    <w:p w:rsidR="00C759C8" w:rsidRDefault="00C759C8" w:rsidP="00165892"/>
    <w:p w:rsidR="00165892" w:rsidRPr="008C7F22" w:rsidRDefault="00165892" w:rsidP="00165892">
      <w:pPr>
        <w:rPr>
          <w:b/>
        </w:rPr>
      </w:pPr>
      <w:r w:rsidRPr="008C7F22">
        <w:rPr>
          <w:b/>
        </w:rPr>
        <w:t xml:space="preserve">7. </w:t>
      </w:r>
      <w:r w:rsidR="006C192A" w:rsidRPr="006C192A">
        <w:rPr>
          <w:b/>
        </w:rPr>
        <w:t xml:space="preserve">Ideje </w:t>
      </w:r>
      <w:r w:rsidR="007F189A" w:rsidRPr="007F189A">
        <w:rPr>
          <w:b/>
        </w:rPr>
        <w:t>komunikacijsk</w:t>
      </w:r>
      <w:r w:rsidR="00B46207">
        <w:rPr>
          <w:b/>
        </w:rPr>
        <w:t>og</w:t>
      </w:r>
      <w:r w:rsidR="007F189A" w:rsidRPr="007F189A">
        <w:rPr>
          <w:b/>
        </w:rPr>
        <w:t xml:space="preserve"> alat</w:t>
      </w:r>
      <w:r w:rsidR="00B46207">
        <w:rPr>
          <w:b/>
        </w:rPr>
        <w:t>a</w:t>
      </w:r>
    </w:p>
    <w:p w:rsidR="001F1848" w:rsidRDefault="00CB58C3" w:rsidP="00490777">
      <w:pPr>
        <w:jc w:val="both"/>
      </w:pPr>
      <w:r>
        <w:t>Kako bi se osigurala</w:t>
      </w:r>
      <w:r w:rsidR="001F1848" w:rsidRPr="001F1848">
        <w:t xml:space="preserve"> dobra integrirana komunikacija, </w:t>
      </w:r>
      <w:r w:rsidR="00490777">
        <w:t xml:space="preserve">na raspolaganju je </w:t>
      </w:r>
      <w:r>
        <w:t>osnovni</w:t>
      </w:r>
      <w:r w:rsidR="001F1848" w:rsidRPr="001F1848">
        <w:t xml:space="preserve"> komunikacijski alat koji uključuje:</w:t>
      </w:r>
    </w:p>
    <w:p w:rsidR="00165892" w:rsidRPr="00165892" w:rsidRDefault="00165892" w:rsidP="00490777">
      <w:pPr>
        <w:ind w:firstLine="708"/>
        <w:jc w:val="both"/>
      </w:pPr>
      <w:r w:rsidRPr="00165892">
        <w:t xml:space="preserve">• </w:t>
      </w:r>
      <w:r w:rsidR="001F1848" w:rsidRPr="001F1848">
        <w:t>Projektni p</w:t>
      </w:r>
      <w:r w:rsidR="00126408">
        <w:t>lakat</w:t>
      </w:r>
      <w:r w:rsidR="001F1848" w:rsidRPr="001F1848">
        <w:t xml:space="preserve"> s objašnjenjem projekta (obrađeni</w:t>
      </w:r>
      <w:r w:rsidR="00490777">
        <w:t>:</w:t>
      </w:r>
      <w:r w:rsidR="001F1848" w:rsidRPr="001F1848">
        <w:t xml:space="preserve"> izazovi, podrška URBACT-a, popis partnera, očekivani rezultati/</w:t>
      </w:r>
      <w:r w:rsidR="00462E7D">
        <w:t>podaci</w:t>
      </w:r>
      <w:r w:rsidR="001F1848" w:rsidRPr="001F1848">
        <w:t>), vidljiv u gradskim prostorijama.</w:t>
      </w:r>
    </w:p>
    <w:p w:rsidR="00C35160" w:rsidRDefault="00165892" w:rsidP="00490777">
      <w:pPr>
        <w:ind w:firstLine="708"/>
        <w:jc w:val="both"/>
      </w:pPr>
      <w:r w:rsidRPr="00165892">
        <w:t xml:space="preserve">• </w:t>
      </w:r>
      <w:r w:rsidR="00C35160" w:rsidRPr="00C35160">
        <w:t>Funkcionalni predlošci: dnevni red, zapisnici, prezentacije predložaka, popisi sudionika i izvješća o sastancima U</w:t>
      </w:r>
      <w:r w:rsidR="00C35160">
        <w:t>RBACT lokalne radne skupine</w:t>
      </w:r>
      <w:r w:rsidR="00753311">
        <w:t>.</w:t>
      </w:r>
    </w:p>
    <w:p w:rsidR="00165892" w:rsidRPr="00165892" w:rsidRDefault="00165892" w:rsidP="00BD6494">
      <w:pPr>
        <w:ind w:firstLine="708"/>
      </w:pPr>
      <w:r w:rsidRPr="00165892">
        <w:t xml:space="preserve">• </w:t>
      </w:r>
      <w:r w:rsidR="00937C9E">
        <w:t>Predlošci</w:t>
      </w:r>
      <w:r w:rsidR="00661496" w:rsidRPr="00661496">
        <w:t xml:space="preserve"> će se uključiti u glavne komunikacijske materijale projekta.</w:t>
      </w:r>
    </w:p>
    <w:p w:rsidR="0088249C" w:rsidRDefault="00165892" w:rsidP="00490777">
      <w:pPr>
        <w:ind w:firstLine="708"/>
        <w:jc w:val="both"/>
      </w:pPr>
      <w:r w:rsidRPr="00165892">
        <w:t xml:space="preserve">• </w:t>
      </w:r>
      <w:r w:rsidR="0088249C" w:rsidRPr="0088249C">
        <w:t xml:space="preserve">Slike uvodnog sastanka </w:t>
      </w:r>
      <w:r w:rsidR="00A83FAB">
        <w:t>(</w:t>
      </w:r>
      <w:proofErr w:type="spellStart"/>
      <w:r w:rsidR="00A83FAB">
        <w:t>kick-off</w:t>
      </w:r>
      <w:proofErr w:type="spellEnd"/>
      <w:r w:rsidR="00A83FAB">
        <w:t xml:space="preserve">) </w:t>
      </w:r>
      <w:r w:rsidR="00A96F46">
        <w:t>izrađene</w:t>
      </w:r>
      <w:r w:rsidR="0088249C" w:rsidRPr="0088249C">
        <w:t xml:space="preserve"> </w:t>
      </w:r>
      <w:r w:rsidR="0088249C">
        <w:t>rukom p</w:t>
      </w:r>
      <w:r w:rsidR="0088249C" w:rsidRPr="0088249C">
        <w:t>rofesionalno</w:t>
      </w:r>
      <w:r w:rsidR="0088249C">
        <w:t>g</w:t>
      </w:r>
      <w:r w:rsidR="0088249C" w:rsidRPr="0088249C">
        <w:t xml:space="preserve"> </w:t>
      </w:r>
      <w:r w:rsidR="0088249C">
        <w:t>crta</w:t>
      </w:r>
      <w:r w:rsidR="00A96F46">
        <w:t>č</w:t>
      </w:r>
      <w:r w:rsidR="0088249C">
        <w:t>a</w:t>
      </w:r>
      <w:r w:rsidR="0088249C" w:rsidRPr="0088249C">
        <w:t xml:space="preserve"> pr</w:t>
      </w:r>
      <w:r w:rsidR="00A83FAB">
        <w:t>ikazuju</w:t>
      </w:r>
      <w:r w:rsidR="0088249C" w:rsidRPr="0088249C">
        <w:t xml:space="preserve"> pojedinačne partnere i </w:t>
      </w:r>
      <w:r w:rsidR="002B63A3">
        <w:t xml:space="preserve">Mrežu za akcijsko </w:t>
      </w:r>
      <w:proofErr w:type="spellStart"/>
      <w:r w:rsidR="002B63A3">
        <w:t>planuiranje</w:t>
      </w:r>
      <w:proofErr w:type="spellEnd"/>
      <w:r w:rsidR="00A83FAB">
        <w:t xml:space="preserve"> u cjelini koje</w:t>
      </w:r>
      <w:r w:rsidR="0088249C" w:rsidRPr="0088249C">
        <w:t xml:space="preserve"> </w:t>
      </w:r>
      <w:r w:rsidR="009316C4">
        <w:t>predstavljaju</w:t>
      </w:r>
      <w:r w:rsidR="0088249C" w:rsidRPr="0088249C">
        <w:t xml:space="preserve"> kreativni </w:t>
      </w:r>
      <w:r w:rsidR="009316C4">
        <w:t>oblik</w:t>
      </w:r>
      <w:r w:rsidR="0088249C" w:rsidRPr="0088249C">
        <w:t xml:space="preserve"> komunikacije</w:t>
      </w:r>
      <w:r w:rsidR="00753311">
        <w:t>.</w:t>
      </w:r>
    </w:p>
    <w:p w:rsidR="00165892" w:rsidRPr="00165892" w:rsidRDefault="00165892" w:rsidP="009316C4">
      <w:pPr>
        <w:ind w:firstLine="708"/>
        <w:jc w:val="both"/>
      </w:pPr>
      <w:r w:rsidRPr="00165892">
        <w:t xml:space="preserve">• </w:t>
      </w:r>
      <w:r w:rsidR="008122CA" w:rsidRPr="008122CA">
        <w:t xml:space="preserve">Fotografije snimljene tijekom </w:t>
      </w:r>
      <w:r w:rsidR="001E0F1F">
        <w:t>međunarodnih</w:t>
      </w:r>
      <w:r w:rsidR="008122CA" w:rsidRPr="008122CA">
        <w:t xml:space="preserve"> sastanaka i gradskih posjeta kako bi se prikazalo djelovanje </w:t>
      </w:r>
      <w:r w:rsidR="00721A2F">
        <w:t xml:space="preserve">gradova </w:t>
      </w:r>
      <w:r w:rsidR="008122CA" w:rsidRPr="008122CA">
        <w:t>partner</w:t>
      </w:r>
      <w:r w:rsidR="00721A2F">
        <w:t>a</w:t>
      </w:r>
      <w:r w:rsidR="008122CA" w:rsidRPr="008122CA">
        <w:t xml:space="preserve"> te pozitivan i aktivan tijek rada i angažman.</w:t>
      </w:r>
    </w:p>
    <w:p w:rsidR="00165892" w:rsidRPr="00165892" w:rsidRDefault="00165892" w:rsidP="00490777">
      <w:pPr>
        <w:ind w:firstLine="708"/>
        <w:jc w:val="both"/>
      </w:pPr>
      <w:r w:rsidRPr="00165892">
        <w:t xml:space="preserve">• </w:t>
      </w:r>
      <w:r w:rsidR="00A83FAB">
        <w:t>F</w:t>
      </w:r>
      <w:r w:rsidR="00F60A69" w:rsidRPr="00F60A69">
        <w:t xml:space="preserve">ilm </w:t>
      </w:r>
      <w:r w:rsidR="00A83FAB">
        <w:t xml:space="preserve">s </w:t>
      </w:r>
      <w:r w:rsidR="00F60A69" w:rsidRPr="00F60A69">
        <w:t>početnog sastanka</w:t>
      </w:r>
      <w:r w:rsidR="00A83FAB">
        <w:t xml:space="preserve"> (</w:t>
      </w:r>
      <w:proofErr w:type="spellStart"/>
      <w:r w:rsidR="00A83FAB">
        <w:t>kick-off</w:t>
      </w:r>
      <w:proofErr w:type="spellEnd"/>
      <w:r w:rsidR="00A83FAB">
        <w:t>)</w:t>
      </w:r>
      <w:r w:rsidR="00F60A69" w:rsidRPr="00F60A69">
        <w:t xml:space="preserve">, koji je korišten nakon </w:t>
      </w:r>
      <w:proofErr w:type="spellStart"/>
      <w:r w:rsidR="003819C6">
        <w:t>kick-off</w:t>
      </w:r>
      <w:proofErr w:type="spellEnd"/>
      <w:r w:rsidR="003819C6">
        <w:t xml:space="preserve"> sastanka</w:t>
      </w:r>
      <w:r w:rsidR="00F60A69" w:rsidRPr="00F60A69">
        <w:t>, ali je relevantan tijekom cijelog trajanja projekta.</w:t>
      </w:r>
      <w:r w:rsidR="009F209D" w:rsidRPr="009F209D">
        <w:t xml:space="preserve"> </w:t>
      </w:r>
    </w:p>
    <w:p w:rsidR="00E94BC5" w:rsidRDefault="00F41349" w:rsidP="00165892">
      <w:r w:rsidRPr="00F41349">
        <w:t xml:space="preserve">Sve se to može naći na početnoj stranici </w:t>
      </w:r>
      <w:r w:rsidR="00E94BC5">
        <w:t>(</w:t>
      </w:r>
      <w:r w:rsidR="00E94BC5" w:rsidRPr="00E94BC5">
        <w:t>alata za vođenje projekata</w:t>
      </w:r>
      <w:r w:rsidR="00E94BC5">
        <w:t xml:space="preserve">) </w:t>
      </w:r>
      <w:proofErr w:type="spellStart"/>
      <w:r w:rsidR="00E94BC5">
        <w:t>B</w:t>
      </w:r>
      <w:r w:rsidRPr="00165892">
        <w:t>asecamp</w:t>
      </w:r>
      <w:proofErr w:type="spellEnd"/>
      <w:r w:rsidRPr="00F41349">
        <w:t xml:space="preserve"> </w:t>
      </w:r>
      <w:proofErr w:type="spellStart"/>
      <w:r w:rsidRPr="00165892">
        <w:t>Resourceful</w:t>
      </w:r>
      <w:proofErr w:type="spellEnd"/>
      <w:r w:rsidRPr="00165892">
        <w:t xml:space="preserve"> </w:t>
      </w:r>
      <w:proofErr w:type="spellStart"/>
      <w:r w:rsidRPr="00165892">
        <w:t>Cities</w:t>
      </w:r>
      <w:proofErr w:type="spellEnd"/>
      <w:r w:rsidR="00E94BC5">
        <w:t>.</w:t>
      </w:r>
    </w:p>
    <w:p w:rsidR="007F632F" w:rsidRDefault="007F632F" w:rsidP="007F632F">
      <w:pPr>
        <w:numPr>
          <w:ilvl w:val="1"/>
          <w:numId w:val="8"/>
        </w:numPr>
      </w:pPr>
      <w:r w:rsidRPr="007F632F">
        <w:t xml:space="preserve">Pored trenutne komunikacije </w:t>
      </w:r>
      <w:r w:rsidR="00753311">
        <w:t xml:space="preserve">projekta </w:t>
      </w:r>
      <w:r>
        <w:t>Održivi</w:t>
      </w:r>
      <w:r w:rsidRPr="007F632F">
        <w:t xml:space="preserve"> gradov</w:t>
      </w:r>
      <w:r w:rsidR="00753311">
        <w:t>i</w:t>
      </w:r>
      <w:r w:rsidRPr="007F632F">
        <w:t xml:space="preserve"> </w:t>
      </w:r>
      <w:r w:rsidR="003819C6">
        <w:t xml:space="preserve">prilažu se i </w:t>
      </w:r>
      <w:r w:rsidRPr="007F632F">
        <w:t>sljedeće ideje:</w:t>
      </w:r>
    </w:p>
    <w:p w:rsidR="00427374" w:rsidRDefault="003819C6" w:rsidP="003819C6">
      <w:pPr>
        <w:numPr>
          <w:ilvl w:val="2"/>
          <w:numId w:val="8"/>
        </w:numPr>
      </w:pPr>
      <w:r>
        <w:tab/>
      </w:r>
      <w:r w:rsidR="00165892" w:rsidRPr="00165892">
        <w:t xml:space="preserve">- </w:t>
      </w:r>
      <w:r w:rsidR="00427374" w:rsidRPr="00427374">
        <w:t>Priopćenja za javnost (na lokalnoj i mrežnoj razini)</w:t>
      </w:r>
      <w:r w:rsidR="00753311">
        <w:t>:</w:t>
      </w:r>
    </w:p>
    <w:p w:rsidR="00165892" w:rsidRPr="00165892" w:rsidRDefault="003819C6" w:rsidP="003819C6">
      <w:pPr>
        <w:jc w:val="both"/>
      </w:pPr>
      <w:r>
        <w:tab/>
      </w:r>
      <w:r w:rsidR="00427374" w:rsidRPr="00427374">
        <w:t>•</w:t>
      </w:r>
      <w:r w:rsidR="00427374">
        <w:t xml:space="preserve"> </w:t>
      </w:r>
      <w:r w:rsidR="00427374" w:rsidRPr="00427374">
        <w:t xml:space="preserve">Otvaranje centra za urbane resurse u jednom od partnera </w:t>
      </w:r>
      <w:r w:rsidR="00427374">
        <w:t>Mreže za akcijsko planiranje</w:t>
      </w:r>
    </w:p>
    <w:p w:rsidR="00165892" w:rsidRPr="00165892" w:rsidRDefault="003819C6" w:rsidP="003819C6">
      <w:pPr>
        <w:numPr>
          <w:ilvl w:val="2"/>
          <w:numId w:val="8"/>
        </w:numPr>
        <w:jc w:val="both"/>
      </w:pPr>
      <w:r>
        <w:tab/>
      </w:r>
      <w:r w:rsidR="00EA4979">
        <w:t xml:space="preserve">• </w:t>
      </w:r>
      <w:r w:rsidR="00427374" w:rsidRPr="00427374">
        <w:t>Profilira</w:t>
      </w:r>
      <w:r w:rsidR="001A479F">
        <w:t>nje</w:t>
      </w:r>
      <w:r w:rsidR="00427374" w:rsidRPr="00427374">
        <w:t xml:space="preserve"> članov</w:t>
      </w:r>
      <w:r w:rsidR="001A479F">
        <w:t>a</w:t>
      </w:r>
      <w:r w:rsidR="00427374" w:rsidRPr="00427374">
        <w:t xml:space="preserve"> koji sudjeluju u URBACT lokaln</w:t>
      </w:r>
      <w:r w:rsidR="00427374">
        <w:t>oj</w:t>
      </w:r>
      <w:r w:rsidR="00427374" w:rsidRPr="00427374">
        <w:t xml:space="preserve"> radn</w:t>
      </w:r>
      <w:r w:rsidR="00427374">
        <w:t>oj</w:t>
      </w:r>
      <w:r w:rsidR="00427374" w:rsidRPr="00427374">
        <w:t xml:space="preserve"> skupin</w:t>
      </w:r>
      <w:r w:rsidR="00427374">
        <w:t>i</w:t>
      </w:r>
      <w:r w:rsidR="00427374" w:rsidRPr="00427374">
        <w:t xml:space="preserve"> i predstav</w:t>
      </w:r>
      <w:r w:rsidR="001A479F">
        <w:t>ljanje</w:t>
      </w:r>
      <w:r w:rsidR="00427374" w:rsidRPr="00427374">
        <w:t xml:space="preserve"> njihov</w:t>
      </w:r>
      <w:r w:rsidR="001A479F">
        <w:t>ih</w:t>
      </w:r>
      <w:r w:rsidR="00427374" w:rsidRPr="00427374">
        <w:t xml:space="preserve"> idej</w:t>
      </w:r>
      <w:r w:rsidR="001A479F">
        <w:t>a</w:t>
      </w:r>
    </w:p>
    <w:p w:rsidR="00165892" w:rsidRPr="00165892" w:rsidRDefault="003819C6" w:rsidP="00201F5C">
      <w:pPr>
        <w:numPr>
          <w:ilvl w:val="1"/>
          <w:numId w:val="8"/>
        </w:numPr>
      </w:pPr>
      <w:r>
        <w:tab/>
      </w:r>
      <w:r w:rsidR="00427374">
        <w:t xml:space="preserve">• </w:t>
      </w:r>
      <w:r w:rsidR="00201F5C" w:rsidRPr="00201F5C">
        <w:t xml:space="preserve">Gradski </w:t>
      </w:r>
      <w:r>
        <w:t>URBACT festival</w:t>
      </w:r>
    </w:p>
    <w:p w:rsidR="00165892" w:rsidRPr="00165892" w:rsidRDefault="00165892" w:rsidP="00165892">
      <w:pPr>
        <w:numPr>
          <w:ilvl w:val="1"/>
          <w:numId w:val="8"/>
        </w:numPr>
      </w:pPr>
    </w:p>
    <w:p w:rsidR="00C5486C" w:rsidRDefault="00C5486C" w:rsidP="0018172D">
      <w:r w:rsidRPr="00C5486C">
        <w:t xml:space="preserve">- </w:t>
      </w:r>
      <w:r w:rsidR="002B48DC">
        <w:t>Prikaz</w:t>
      </w:r>
      <w:r w:rsidR="003819C6">
        <w:t xml:space="preserve"> (</w:t>
      </w:r>
      <w:proofErr w:type="spellStart"/>
      <w:r w:rsidR="003819C6">
        <w:t>snapshots</w:t>
      </w:r>
      <w:proofErr w:type="spellEnd"/>
      <w:r w:rsidR="003819C6">
        <w:t>)</w:t>
      </w:r>
      <w:r w:rsidR="00753311">
        <w:t>:</w:t>
      </w:r>
    </w:p>
    <w:p w:rsidR="00C5486C" w:rsidRPr="00C5486C" w:rsidRDefault="003819C6" w:rsidP="002B48DC">
      <w:pPr>
        <w:numPr>
          <w:ilvl w:val="1"/>
          <w:numId w:val="9"/>
        </w:numPr>
      </w:pPr>
      <w:r>
        <w:tab/>
      </w:r>
      <w:r w:rsidR="002B48DC" w:rsidRPr="002B48DC">
        <w:t>• Prezentacija sastanaka</w:t>
      </w:r>
      <w:r w:rsidR="002B48DC">
        <w:t xml:space="preserve"> </w:t>
      </w:r>
      <w:r>
        <w:t xml:space="preserve">(online) </w:t>
      </w:r>
      <w:r w:rsidR="002B48DC">
        <w:t>gradova partnera</w:t>
      </w:r>
    </w:p>
    <w:p w:rsidR="00C5486C" w:rsidRPr="00C5486C" w:rsidRDefault="00CF31F0" w:rsidP="002B48DC">
      <w:pPr>
        <w:numPr>
          <w:ilvl w:val="1"/>
          <w:numId w:val="9"/>
        </w:numPr>
      </w:pPr>
      <w:r>
        <w:tab/>
      </w:r>
      <w:r w:rsidR="002B48DC" w:rsidRPr="002B48DC">
        <w:t xml:space="preserve">• </w:t>
      </w:r>
      <w:r w:rsidR="002B48DC">
        <w:t>Plan (smjernice)</w:t>
      </w:r>
    </w:p>
    <w:p w:rsidR="00AB1D09" w:rsidRDefault="003819C6" w:rsidP="00AB1D09">
      <w:pPr>
        <w:numPr>
          <w:ilvl w:val="1"/>
          <w:numId w:val="9"/>
        </w:numPr>
      </w:pPr>
      <w:r>
        <w:tab/>
      </w:r>
      <w:r w:rsidR="002B48DC" w:rsidRPr="002B48DC">
        <w:t xml:space="preserve">• </w:t>
      </w:r>
      <w:proofErr w:type="spellStart"/>
      <w:r w:rsidR="00AB1D09" w:rsidRPr="00AB1D09">
        <w:t>I</w:t>
      </w:r>
      <w:r w:rsidR="0026093E">
        <w:t>nfografika</w:t>
      </w:r>
      <w:proofErr w:type="spellEnd"/>
      <w:r w:rsidR="0026093E">
        <w:t xml:space="preserve"> postignutih rezultata</w:t>
      </w:r>
    </w:p>
    <w:p w:rsidR="00C5486C" w:rsidRPr="00C5486C" w:rsidRDefault="00CF31F0" w:rsidP="00D50A64">
      <w:pPr>
        <w:numPr>
          <w:ilvl w:val="1"/>
          <w:numId w:val="9"/>
        </w:numPr>
      </w:pPr>
      <w:r>
        <w:tab/>
      </w:r>
      <w:r w:rsidR="002B48DC" w:rsidRPr="002B48DC">
        <w:t xml:space="preserve">• </w:t>
      </w:r>
      <w:r w:rsidR="00753311">
        <w:t>Izvješće o stručnom pregledu</w:t>
      </w:r>
      <w:r>
        <w:t xml:space="preserve"> –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</w:p>
    <w:p w:rsidR="00C5486C" w:rsidRPr="00C5486C" w:rsidRDefault="00CF31F0" w:rsidP="007B6AE3">
      <w:pPr>
        <w:numPr>
          <w:ilvl w:val="1"/>
          <w:numId w:val="9"/>
        </w:numPr>
      </w:pPr>
      <w:r>
        <w:tab/>
      </w:r>
      <w:r w:rsidR="002B48DC" w:rsidRPr="002B48DC">
        <w:t xml:space="preserve">• </w:t>
      </w:r>
      <w:r>
        <w:t>Ilustracija preporučenih aktivnosti</w:t>
      </w:r>
    </w:p>
    <w:p w:rsidR="00C5486C" w:rsidRPr="00C5486C" w:rsidRDefault="00C5486C" w:rsidP="002B5BD0">
      <w:pPr>
        <w:numPr>
          <w:ilvl w:val="0"/>
          <w:numId w:val="9"/>
        </w:numPr>
      </w:pPr>
    </w:p>
    <w:p w:rsidR="00864DFD" w:rsidRDefault="00864DFD" w:rsidP="009C5B21">
      <w:pPr>
        <w:jc w:val="both"/>
      </w:pPr>
      <w:r w:rsidRPr="00864DFD">
        <w:t xml:space="preserve">Opći je cilj podijeliti </w:t>
      </w:r>
      <w:r w:rsidR="00720D13">
        <w:t>projekt</w:t>
      </w:r>
      <w:r w:rsidRPr="00864DFD">
        <w:t xml:space="preserve"> s </w:t>
      </w:r>
      <w:r w:rsidR="00081141">
        <w:t xml:space="preserve">javnošću u </w:t>
      </w:r>
      <w:r w:rsidRPr="00864DFD">
        <w:t>gradov</w:t>
      </w:r>
      <w:r w:rsidR="00081141">
        <w:t>ima</w:t>
      </w:r>
      <w:r w:rsidR="009C5B21">
        <w:t xml:space="preserve"> </w:t>
      </w:r>
      <w:proofErr w:type="spellStart"/>
      <w:r w:rsidR="009C5B21">
        <w:t>partenrima</w:t>
      </w:r>
      <w:proofErr w:type="spellEnd"/>
      <w:r w:rsidRPr="00864DFD">
        <w:t xml:space="preserve">, </w:t>
      </w:r>
      <w:r w:rsidR="007C52DC">
        <w:t>stručnjacima</w:t>
      </w:r>
      <w:r w:rsidR="00720D13">
        <w:t xml:space="preserve"> i </w:t>
      </w:r>
      <w:r w:rsidRPr="00864DFD">
        <w:t>donositelj</w:t>
      </w:r>
      <w:r w:rsidR="007C52DC">
        <w:t xml:space="preserve">ima </w:t>
      </w:r>
      <w:r w:rsidRPr="00864DFD">
        <w:t>odluka.</w:t>
      </w:r>
    </w:p>
    <w:p w:rsidR="00081141" w:rsidRDefault="00081141" w:rsidP="00C5486C"/>
    <w:p w:rsidR="00081141" w:rsidRPr="00081141" w:rsidRDefault="00081141" w:rsidP="00C5486C">
      <w:pPr>
        <w:rPr>
          <w:b/>
        </w:rPr>
      </w:pPr>
      <w:r w:rsidRPr="00081141">
        <w:rPr>
          <w:b/>
        </w:rPr>
        <w:t xml:space="preserve">8. </w:t>
      </w:r>
      <w:r>
        <w:rPr>
          <w:b/>
        </w:rPr>
        <w:t>Imenovan</w:t>
      </w:r>
      <w:r w:rsidR="00D93E72">
        <w:rPr>
          <w:b/>
        </w:rPr>
        <w:t>i</w:t>
      </w:r>
      <w:r w:rsidRPr="00081141">
        <w:rPr>
          <w:b/>
        </w:rPr>
        <w:t xml:space="preserve"> službenik za komunikaciju</w:t>
      </w:r>
    </w:p>
    <w:p w:rsidR="00183B97" w:rsidRDefault="00081141" w:rsidP="009C5B21">
      <w:pPr>
        <w:jc w:val="both"/>
      </w:pPr>
      <w:r w:rsidRPr="00081141">
        <w:t xml:space="preserve">Trenutno je </w:t>
      </w:r>
      <w:proofErr w:type="spellStart"/>
      <w:r w:rsidRPr="00081141">
        <w:t>Monique</w:t>
      </w:r>
      <w:proofErr w:type="spellEnd"/>
      <w:r w:rsidRPr="00081141">
        <w:t xml:space="preserve"> </w:t>
      </w:r>
      <w:proofErr w:type="spellStart"/>
      <w:r w:rsidRPr="00081141">
        <w:t>Schoelitsz</w:t>
      </w:r>
      <w:proofErr w:type="spellEnd"/>
      <w:r w:rsidRPr="00081141">
        <w:t xml:space="preserve"> imenovana službenicom za komunikaciju. Njezin je zadatak pružiti strateške savjete i podržati komunikacijske </w:t>
      </w:r>
      <w:r w:rsidR="000422E9">
        <w:t xml:space="preserve">podatke </w:t>
      </w:r>
      <w:r w:rsidRPr="00081141">
        <w:t xml:space="preserve">za </w:t>
      </w:r>
      <w:r w:rsidR="00D44D8D">
        <w:t>drugu fazu</w:t>
      </w:r>
      <w:r w:rsidRPr="00081141">
        <w:t xml:space="preserve">. Esmée Dijt pomaže vodećem partneru </w:t>
      </w:r>
      <w:r>
        <w:t>projekta Održivi</w:t>
      </w:r>
      <w:r w:rsidRPr="00081141">
        <w:t xml:space="preserve"> gradov</w:t>
      </w:r>
      <w:r>
        <w:t>i</w:t>
      </w:r>
      <w:r w:rsidRPr="00081141">
        <w:t xml:space="preserve"> u provođenju integrirane komunikacije i prati planiranje. Ideje</w:t>
      </w:r>
      <w:r w:rsidR="00D44D8D">
        <w:t xml:space="preserve"> i </w:t>
      </w:r>
      <w:r w:rsidR="000422E9">
        <w:t>komentare</w:t>
      </w:r>
      <w:r w:rsidRPr="00081141">
        <w:t xml:space="preserve"> za komunikaciju mogu se uputiti Esmée Dijt. Uloga službenika za komunikaciju i </w:t>
      </w:r>
      <w:r w:rsidR="00512067">
        <w:t xml:space="preserve">njegovog </w:t>
      </w:r>
      <w:r w:rsidRPr="00081141">
        <w:t>pomoćn</w:t>
      </w:r>
      <w:r w:rsidR="00512067">
        <w:t>ika pri vodećem</w:t>
      </w:r>
      <w:r w:rsidRPr="00081141">
        <w:t xml:space="preserve"> partner</w:t>
      </w:r>
      <w:r w:rsidR="00512067">
        <w:t>u</w:t>
      </w:r>
      <w:r w:rsidRPr="00081141">
        <w:t xml:space="preserve"> </w:t>
      </w:r>
      <w:r w:rsidR="00512067">
        <w:t xml:space="preserve">(grad Hag) </w:t>
      </w:r>
      <w:r w:rsidRPr="00081141">
        <w:t>je provoditi komunikaciju na mrežnoj razini i olakšati komunikaciju na lokalnoj razini svakog partnera pružajući im alate i modele. Modeli, izvješ</w:t>
      </w:r>
      <w:r w:rsidR="00C0752F">
        <w:t>ća</w:t>
      </w:r>
      <w:r w:rsidRPr="00081141">
        <w:t>, prezentacije</w:t>
      </w:r>
      <w:r w:rsidR="00D44D8D">
        <w:t xml:space="preserve"> i </w:t>
      </w:r>
      <w:r w:rsidRPr="00081141">
        <w:t xml:space="preserve">alati mogu se naći na stranicama </w:t>
      </w:r>
      <w:proofErr w:type="spellStart"/>
      <w:r w:rsidRPr="00081141">
        <w:t>Basecamp</w:t>
      </w:r>
      <w:proofErr w:type="spellEnd"/>
      <w:r w:rsidRPr="00081141">
        <w:t xml:space="preserve">-a </w:t>
      </w:r>
      <w:proofErr w:type="spellStart"/>
      <w:r w:rsidR="00351F97" w:rsidRPr="00351F97">
        <w:t>Resourceful</w:t>
      </w:r>
      <w:proofErr w:type="spellEnd"/>
      <w:r w:rsidR="00351F97" w:rsidRPr="00351F97">
        <w:t xml:space="preserve"> </w:t>
      </w:r>
      <w:proofErr w:type="spellStart"/>
      <w:r w:rsidR="00351F97" w:rsidRPr="00351F97">
        <w:t>Cities</w:t>
      </w:r>
      <w:proofErr w:type="spellEnd"/>
      <w:r w:rsidR="00351F97" w:rsidRPr="00351F97">
        <w:t>.</w:t>
      </w:r>
    </w:p>
    <w:p w:rsidR="00183B97" w:rsidRDefault="00183B97" w:rsidP="00C5486C"/>
    <w:p w:rsidR="0066367F" w:rsidRPr="00500E1B" w:rsidRDefault="00D30302" w:rsidP="00C5486C">
      <w:pPr>
        <w:rPr>
          <w:b/>
        </w:rPr>
      </w:pPr>
      <w:r>
        <w:br w:type="column"/>
      </w:r>
      <w:r w:rsidR="0066367F" w:rsidRPr="0066367F">
        <w:rPr>
          <w:b/>
        </w:rPr>
        <w:lastRenderedPageBreak/>
        <w:t>9. Pregled komunikacije</w:t>
      </w:r>
    </w:p>
    <w:tbl>
      <w:tblPr>
        <w:tblStyle w:val="Reetkatablice"/>
        <w:tblW w:w="11058" w:type="dxa"/>
        <w:tblInd w:w="-998" w:type="dxa"/>
        <w:tblLook w:val="04A0" w:firstRow="1" w:lastRow="0" w:firstColumn="1" w:lastColumn="0" w:noHBand="0" w:noVBand="1"/>
      </w:tblPr>
      <w:tblGrid>
        <w:gridCol w:w="1426"/>
        <w:gridCol w:w="1984"/>
        <w:gridCol w:w="2690"/>
        <w:gridCol w:w="1094"/>
        <w:gridCol w:w="2261"/>
        <w:gridCol w:w="1603"/>
      </w:tblGrid>
      <w:tr w:rsidR="009A1DD4" w:rsidTr="00730239">
        <w:tc>
          <w:tcPr>
            <w:tcW w:w="1419" w:type="dxa"/>
          </w:tcPr>
          <w:p w:rsidR="00B2451A" w:rsidRPr="003372AA" w:rsidRDefault="0066367F" w:rsidP="00B245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1984" w:type="dxa"/>
          </w:tcPr>
          <w:p w:rsidR="00B2451A" w:rsidRPr="003372AA" w:rsidRDefault="0066367F" w:rsidP="00B245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Osnovna poruka</w:t>
            </w:r>
          </w:p>
        </w:tc>
        <w:tc>
          <w:tcPr>
            <w:tcW w:w="2693" w:type="dxa"/>
          </w:tcPr>
          <w:p w:rsidR="00B2451A" w:rsidRPr="003372AA" w:rsidRDefault="001508D5" w:rsidP="00B245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1094" w:type="dxa"/>
          </w:tcPr>
          <w:p w:rsidR="00B2451A" w:rsidRPr="003372AA" w:rsidRDefault="00A54C1A" w:rsidP="00B245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Kanal</w:t>
            </w:r>
          </w:p>
        </w:tc>
        <w:tc>
          <w:tcPr>
            <w:tcW w:w="2265" w:type="dxa"/>
          </w:tcPr>
          <w:p w:rsidR="00B2451A" w:rsidRPr="003372AA" w:rsidRDefault="003B4605" w:rsidP="003B4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Ciljana skupina</w:t>
            </w:r>
          </w:p>
        </w:tc>
        <w:tc>
          <w:tcPr>
            <w:tcW w:w="1603" w:type="dxa"/>
          </w:tcPr>
          <w:p w:rsidR="00B2451A" w:rsidRPr="003372AA" w:rsidRDefault="00687130" w:rsidP="00B245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Učestalost</w:t>
            </w:r>
          </w:p>
        </w:tc>
      </w:tr>
      <w:tr w:rsidR="009A1DD4" w:rsidTr="00730239">
        <w:tc>
          <w:tcPr>
            <w:tcW w:w="1419" w:type="dxa"/>
            <w:vMerge w:val="restart"/>
            <w:shd w:val="clear" w:color="auto" w:fill="BDD6EE" w:themeFill="accent1" w:themeFillTint="66"/>
          </w:tcPr>
          <w:p w:rsidR="00FC0C8E" w:rsidRPr="003372AA" w:rsidRDefault="00B811E5" w:rsidP="009A1DD4">
            <w:pPr>
              <w:rPr>
                <w:rFonts w:cs="Times New Roman"/>
                <w:sz w:val="22"/>
              </w:rPr>
            </w:pPr>
            <w:r w:rsidRPr="003372AA">
              <w:rPr>
                <w:rFonts w:cs="Times New Roman"/>
                <w:sz w:val="22"/>
              </w:rPr>
              <w:t>Ažuriranj</w:t>
            </w:r>
            <w:r w:rsidR="007C73E0" w:rsidRPr="003372AA">
              <w:rPr>
                <w:rFonts w:cs="Times New Roman"/>
                <w:sz w:val="22"/>
              </w:rPr>
              <w:t>e</w:t>
            </w:r>
            <w:r w:rsidRPr="003372AA">
              <w:rPr>
                <w:rFonts w:cs="Times New Roman"/>
                <w:sz w:val="22"/>
              </w:rPr>
              <w:t xml:space="preserve"> </w:t>
            </w:r>
            <w:r w:rsidR="009A1DD4">
              <w:rPr>
                <w:rFonts w:cs="Times New Roman"/>
                <w:sz w:val="22"/>
              </w:rPr>
              <w:t>tijeka</w:t>
            </w:r>
            <w:r w:rsidRPr="003372AA">
              <w:rPr>
                <w:rFonts w:cs="Times New Roman"/>
                <w:sz w:val="22"/>
              </w:rPr>
              <w:t xml:space="preserve"> projekta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FC0C8E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Održana</w:t>
            </w:r>
            <w:r w:rsidR="00CB5D37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događa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nja</w:t>
            </w:r>
            <w:r w:rsidR="00CB5D37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najnovije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vijseti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5D37" w:rsidRPr="003372AA">
              <w:rPr>
                <w:rFonts w:ascii="Times New Roman" w:hAnsi="Times New Roman" w:cs="Times New Roman"/>
                <w:sz w:val="22"/>
                <w:szCs w:val="22"/>
              </w:rPr>
              <w:t>partnera, posebni dani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/obilježavanja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C0C8E" w:rsidRPr="003372AA" w:rsidRDefault="00A372A5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Slike, 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>rezultati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i ažuriranja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FC0C8E" w:rsidRPr="003372AA" w:rsidRDefault="00704CBB" w:rsidP="00FC0C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:rsidR="00FC0C8E" w:rsidRPr="003372AA" w:rsidRDefault="00C83760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Građani, tvrtke, </w:t>
            </w:r>
            <w:proofErr w:type="spellStart"/>
            <w:r w:rsidR="009A1DD4">
              <w:rPr>
                <w:rFonts w:ascii="Times New Roman" w:hAnsi="Times New Roman" w:cs="Times New Roman"/>
                <w:sz w:val="22"/>
                <w:szCs w:val="22"/>
              </w:rPr>
              <w:t>startupovi</w:t>
            </w:r>
            <w:proofErr w:type="spellEnd"/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, donositelji politika, stručnjaci</w:t>
            </w:r>
          </w:p>
        </w:tc>
        <w:tc>
          <w:tcPr>
            <w:tcW w:w="1603" w:type="dxa"/>
            <w:shd w:val="clear" w:color="auto" w:fill="BDD6EE" w:themeFill="accent1" w:themeFillTint="66"/>
          </w:tcPr>
          <w:p w:rsidR="00FC0C8E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B87CA8" w:rsidRPr="003372AA">
              <w:rPr>
                <w:rFonts w:ascii="Times New Roman" w:hAnsi="Times New Roman" w:cs="Times New Roman"/>
                <w:sz w:val="22"/>
                <w:szCs w:val="22"/>
              </w:rPr>
              <w:t>jedno</w:t>
            </w:r>
          </w:p>
        </w:tc>
      </w:tr>
      <w:tr w:rsidR="009A1DD4" w:rsidTr="00730239">
        <w:trPr>
          <w:trHeight w:val="658"/>
        </w:trPr>
        <w:tc>
          <w:tcPr>
            <w:tcW w:w="1419" w:type="dxa"/>
            <w:vMerge/>
            <w:shd w:val="clear" w:color="auto" w:fill="BDD6EE" w:themeFill="accent1" w:themeFillTint="66"/>
          </w:tcPr>
          <w:p w:rsidR="00FC0C8E" w:rsidRPr="003372AA" w:rsidRDefault="00FC0C8E" w:rsidP="00FC0C8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FC0C8E" w:rsidRPr="003372AA" w:rsidRDefault="00C1246B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Međunarodni sastan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="00FC0C8E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C0C8E" w:rsidRPr="003372AA" w:rsidRDefault="00C1246B" w:rsidP="00C124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Slike, videozapisi, podaci i ažuriranja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FC0C8E" w:rsidRPr="003372AA" w:rsidRDefault="00704CBB" w:rsidP="00FC0C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:rsidR="00FC0C8E" w:rsidRPr="003372AA" w:rsidRDefault="00C1246B" w:rsidP="00FC0C8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BDD6EE" w:themeFill="accent1" w:themeFillTint="66"/>
          </w:tcPr>
          <w:p w:rsidR="00FC0C8E" w:rsidRPr="003372AA" w:rsidRDefault="007D5CE1" w:rsidP="007D5C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Prije ili n</w:t>
            </w:r>
            <w:r w:rsidR="00C1246B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akon međunarodnog  sastanka </w:t>
            </w:r>
          </w:p>
        </w:tc>
      </w:tr>
      <w:tr w:rsidR="009A1DD4" w:rsidTr="00730239">
        <w:tc>
          <w:tcPr>
            <w:tcW w:w="1419" w:type="dxa"/>
            <w:vMerge w:val="restart"/>
            <w:shd w:val="clear" w:color="auto" w:fill="C5E0B3" w:themeFill="accent6" w:themeFillTint="66"/>
          </w:tcPr>
          <w:p w:rsidR="008E78A6" w:rsidRPr="003372AA" w:rsidRDefault="00D30302" w:rsidP="00D3030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Nadahnite (i</w:t>
            </w:r>
            <w:r w:rsidR="007C73E0" w:rsidRPr="003372AA">
              <w:rPr>
                <w:rFonts w:cs="Times New Roman"/>
                <w:sz w:val="22"/>
              </w:rPr>
              <w:t>nspirirajte</w:t>
            </w:r>
            <w:r>
              <w:rPr>
                <w:rFonts w:cs="Times New Roman"/>
                <w:sz w:val="22"/>
              </w:rPr>
              <w:t>)</w:t>
            </w:r>
            <w:r w:rsidR="007C73E0" w:rsidRPr="003372AA">
              <w:rPr>
                <w:rFonts w:cs="Times New Roman"/>
                <w:sz w:val="22"/>
              </w:rPr>
              <w:t xml:space="preserve"> i motivirajte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E78A6" w:rsidRPr="003372AA" w:rsidRDefault="00D46D3C" w:rsidP="008E78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Najbolji primjeri iz prakse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E78A6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Vođenje</w:t>
            </w:r>
            <w:r w:rsidR="009854D5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Centara za urbane resurse</w:t>
            </w:r>
          </w:p>
        </w:tc>
        <w:tc>
          <w:tcPr>
            <w:tcW w:w="1094" w:type="dxa"/>
            <w:shd w:val="clear" w:color="auto" w:fill="C5E0B3" w:themeFill="accent6" w:themeFillTint="66"/>
          </w:tcPr>
          <w:p w:rsidR="008E78A6" w:rsidRPr="003372AA" w:rsidRDefault="008E78A6" w:rsidP="009854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Twitter </w:t>
            </w:r>
            <w:r w:rsidR="009854D5" w:rsidRPr="003372A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YouTube 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8E78A6" w:rsidRPr="003372AA" w:rsidRDefault="003C18AD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Tvrtke, </w:t>
            </w:r>
            <w:proofErr w:type="spellStart"/>
            <w:r w:rsidR="009A1DD4">
              <w:rPr>
                <w:rFonts w:ascii="Times New Roman" w:hAnsi="Times New Roman" w:cs="Times New Roman"/>
                <w:sz w:val="22"/>
                <w:szCs w:val="22"/>
              </w:rPr>
              <w:t>startupovi</w:t>
            </w:r>
            <w:proofErr w:type="spellEnd"/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, donositelji politika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E78A6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1E34E1" w:rsidRPr="003372AA">
              <w:rPr>
                <w:rFonts w:ascii="Times New Roman" w:hAnsi="Times New Roman" w:cs="Times New Roman"/>
                <w:sz w:val="22"/>
                <w:szCs w:val="22"/>
              </w:rPr>
              <w:t>jesečno</w:t>
            </w:r>
          </w:p>
        </w:tc>
      </w:tr>
      <w:tr w:rsidR="009A1DD4" w:rsidTr="00730239">
        <w:trPr>
          <w:trHeight w:val="4343"/>
        </w:trPr>
        <w:tc>
          <w:tcPr>
            <w:tcW w:w="1419" w:type="dxa"/>
            <w:vMerge/>
            <w:shd w:val="clear" w:color="auto" w:fill="C5E0B3" w:themeFill="accent6" w:themeFillTint="66"/>
          </w:tcPr>
          <w:p w:rsidR="008E78A6" w:rsidRPr="003372AA" w:rsidRDefault="008E78A6" w:rsidP="008E78A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8E78A6" w:rsidRPr="003372AA" w:rsidRDefault="00D46D3C" w:rsidP="008E78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Mogućnosti financiranja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E78A6" w:rsidRPr="003372AA" w:rsidRDefault="001B549F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Europska investicijska banka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Europski socijalni fond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, bank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, UIA</w:t>
            </w:r>
            <w:r w:rsidR="009D1408" w:rsidRPr="003372AA">
              <w:rPr>
                <w:rFonts w:ascii="Times New Roman" w:hAnsi="Times New Roman" w:cs="Times New Roman"/>
                <w:sz w:val="22"/>
                <w:szCs w:val="22"/>
              </w:rPr>
              <w:t>(urbane inovativne akcije)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, TAIEX</w:t>
            </w:r>
            <w:r w:rsidR="00CB2EE7" w:rsidRPr="003372AA">
              <w:rPr>
                <w:rFonts w:ascii="Times New Roman" w:hAnsi="Times New Roman" w:cs="Times New Roman"/>
                <w:sz w:val="22"/>
                <w:szCs w:val="22"/>
              </w:rPr>
              <w:t>(instrument tehničke pomoći i razmjene informacija Europske komisije)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E78A6" w:rsidRPr="006802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</w:t>
            </w:r>
            <w:r w:rsidR="00680260" w:rsidRPr="006802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cionaln</w:t>
            </w:r>
            <w:r w:rsidR="004518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680260" w:rsidRPr="006802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518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razina</w:t>
            </w:r>
            <w:r w:rsidR="008E78A6" w:rsidRPr="006802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577E6A" w:rsidRPr="00577E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Javno privatno partnerstvo</w:t>
            </w:r>
            <w:r w:rsidR="008E78A6" w:rsidRPr="00577E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Horizon</w:t>
            </w:r>
            <w:proofErr w:type="spellEnd"/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7CB4" w:rsidRPr="003372AA">
              <w:rPr>
                <w:rFonts w:ascii="Times New Roman" w:hAnsi="Times New Roman" w:cs="Times New Roman"/>
                <w:sz w:val="22"/>
                <w:szCs w:val="22"/>
              </w:rPr>
              <w:t>(financijski instrument kojim se provodi Unija inovacija)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>Interreg</w:t>
            </w:r>
            <w:proofErr w:type="spellEnd"/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1A2F" w:rsidRPr="003372AA">
              <w:rPr>
                <w:rFonts w:ascii="Times New Roman" w:hAnsi="Times New Roman" w:cs="Times New Roman"/>
                <w:sz w:val="22"/>
                <w:szCs w:val="22"/>
              </w:rPr>
              <w:t>(niz programa za poticanje suradnje između regija unutar i izvan Europske unije)</w:t>
            </w:r>
          </w:p>
        </w:tc>
        <w:tc>
          <w:tcPr>
            <w:tcW w:w="1094" w:type="dxa"/>
            <w:shd w:val="clear" w:color="auto" w:fill="C5E0B3" w:themeFill="accent6" w:themeFillTint="66"/>
          </w:tcPr>
          <w:p w:rsidR="008E78A6" w:rsidRPr="003372AA" w:rsidRDefault="008E78A6" w:rsidP="009854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Twitter </w:t>
            </w:r>
            <w:r w:rsidR="009854D5" w:rsidRPr="003372A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YouTube 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8E78A6" w:rsidRPr="003372AA" w:rsidRDefault="003F4141" w:rsidP="008E78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E78A6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1E34E1" w:rsidRPr="003372AA">
              <w:rPr>
                <w:rFonts w:ascii="Times New Roman" w:hAnsi="Times New Roman" w:cs="Times New Roman"/>
                <w:sz w:val="22"/>
                <w:szCs w:val="22"/>
              </w:rPr>
              <w:t>jesečno</w:t>
            </w:r>
          </w:p>
        </w:tc>
      </w:tr>
      <w:tr w:rsidR="009A1DD4" w:rsidTr="00730239">
        <w:trPr>
          <w:trHeight w:val="1398"/>
        </w:trPr>
        <w:tc>
          <w:tcPr>
            <w:tcW w:w="1419" w:type="dxa"/>
            <w:vMerge/>
            <w:shd w:val="clear" w:color="auto" w:fill="C5E0B3" w:themeFill="accent6" w:themeFillTint="66"/>
          </w:tcPr>
          <w:p w:rsidR="008E78A6" w:rsidRPr="003372AA" w:rsidRDefault="008E78A6" w:rsidP="008E78A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8E78A6" w:rsidRPr="003372AA" w:rsidRDefault="00D46D3C" w:rsidP="002129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Proslavite uspjeh pojedinih partnera i </w:t>
            </w:r>
            <w:r w:rsidR="00212950" w:rsidRPr="003372AA">
              <w:rPr>
                <w:rFonts w:ascii="Times New Roman" w:hAnsi="Times New Roman" w:cs="Times New Roman"/>
                <w:sz w:val="22"/>
                <w:szCs w:val="22"/>
              </w:rPr>
              <w:t>Mreže za akcijsko planiranje</w:t>
            </w:r>
            <w:r w:rsidR="005A290F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Održivi gradovi</w:t>
            </w:r>
            <w:r w:rsidR="00212950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E78A6" w:rsidRPr="003372AA" w:rsidRDefault="00F470B8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Uspjesi Centara za urbane resurse, sastanci URBACT lokalne radne </w:t>
            </w:r>
            <w:proofErr w:type="spellStart"/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skupinea</w:t>
            </w:r>
            <w:proofErr w:type="spellEnd"/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, politička podrška</w:t>
            </w:r>
          </w:p>
        </w:tc>
        <w:tc>
          <w:tcPr>
            <w:tcW w:w="1094" w:type="dxa"/>
            <w:shd w:val="clear" w:color="auto" w:fill="C5E0B3" w:themeFill="accent6" w:themeFillTint="66"/>
          </w:tcPr>
          <w:p w:rsidR="008E78A6" w:rsidRPr="003372AA" w:rsidRDefault="008E78A6" w:rsidP="009854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Twitter </w:t>
            </w:r>
            <w:r w:rsidR="009854D5" w:rsidRPr="003372A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YouTube 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8E78A6" w:rsidRPr="003372AA" w:rsidRDefault="003F4141" w:rsidP="003F41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  <w:r w:rsidR="008E78A6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E78A6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1E34E1" w:rsidRPr="003372AA">
              <w:rPr>
                <w:rFonts w:ascii="Times New Roman" w:hAnsi="Times New Roman" w:cs="Times New Roman"/>
                <w:sz w:val="22"/>
                <w:szCs w:val="22"/>
              </w:rPr>
              <w:t>jesečno</w:t>
            </w:r>
          </w:p>
        </w:tc>
      </w:tr>
      <w:tr w:rsidR="009A1DD4" w:rsidTr="00730239">
        <w:tc>
          <w:tcPr>
            <w:tcW w:w="1419" w:type="dxa"/>
            <w:vMerge w:val="restart"/>
            <w:shd w:val="clear" w:color="auto" w:fill="F7CAAC" w:themeFill="accent2" w:themeFillTint="66"/>
          </w:tcPr>
          <w:p w:rsidR="00E532C7" w:rsidRPr="003372AA" w:rsidRDefault="00404FE7" w:rsidP="00404FE7">
            <w:pPr>
              <w:rPr>
                <w:rFonts w:cs="Times New Roman"/>
                <w:sz w:val="22"/>
              </w:rPr>
            </w:pPr>
            <w:r w:rsidRPr="003372AA">
              <w:rPr>
                <w:rFonts w:cs="Times New Roman"/>
                <w:sz w:val="22"/>
              </w:rPr>
              <w:t>Izgradnja kapaciteta i međunarodno učenje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532C7" w:rsidRPr="003372AA" w:rsidRDefault="006721F4" w:rsidP="00A901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Savjeti </w:t>
            </w:r>
            <w:r w:rsidR="00B731BF">
              <w:rPr>
                <w:rFonts w:ascii="Times New Roman" w:hAnsi="Times New Roman" w:cs="Times New Roman"/>
                <w:sz w:val="22"/>
                <w:szCs w:val="22"/>
              </w:rPr>
              <w:t xml:space="preserve">i prijedlozi 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za kružno gospodarstvo i Centar za urbane resurse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532C7" w:rsidRPr="003372AA" w:rsidRDefault="00347B62" w:rsidP="00347B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Platforme znanja (npr. platforma dionika kružnog gospodarstva)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E532C7" w:rsidRPr="003372AA" w:rsidRDefault="00704CBB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  <w:r w:rsidR="009854D5" w:rsidRPr="003372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32C7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YouTube 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E532C7" w:rsidRPr="003372AA" w:rsidRDefault="003F4141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E532C7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Dvomjesečno</w:t>
            </w:r>
            <w:r w:rsidR="00E532C7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1DD4" w:rsidTr="00730239">
        <w:tc>
          <w:tcPr>
            <w:tcW w:w="1419" w:type="dxa"/>
            <w:vMerge/>
            <w:shd w:val="clear" w:color="auto" w:fill="F7CAAC" w:themeFill="accent2" w:themeFillTint="66"/>
          </w:tcPr>
          <w:p w:rsidR="00E532C7" w:rsidRPr="003372AA" w:rsidRDefault="00E532C7" w:rsidP="00E532C7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E532C7" w:rsidRPr="003372AA" w:rsidRDefault="00B82730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Okviri s alatima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532C7" w:rsidRPr="003372AA" w:rsidRDefault="00E532C7" w:rsidP="00C34E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UAEU</w:t>
            </w:r>
            <w:r w:rsidR="00855E00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(Urbane </w:t>
            </w:r>
            <w:proofErr w:type="spellStart"/>
            <w:r w:rsidR="00855E00" w:rsidRPr="003372AA">
              <w:rPr>
                <w:rFonts w:ascii="Times New Roman" w:hAnsi="Times New Roman" w:cs="Times New Roman"/>
                <w:sz w:val="22"/>
                <w:szCs w:val="22"/>
              </w:rPr>
              <w:t>agende</w:t>
            </w:r>
            <w:proofErr w:type="spellEnd"/>
            <w:r w:rsidR="00855E00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za Europsku uniju)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34ED1" w:rsidRPr="003372AA">
              <w:rPr>
                <w:rFonts w:ascii="Times New Roman" w:hAnsi="Times New Roman" w:cs="Times New Roman"/>
                <w:sz w:val="22"/>
                <w:szCs w:val="22"/>
              </w:rPr>
              <w:t>inicijateive</w:t>
            </w:r>
            <w:proofErr w:type="spellEnd"/>
            <w:r w:rsidR="00C34ED1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kružnog gospodarstva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URBACT 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E532C7" w:rsidRPr="003372AA" w:rsidRDefault="00704CBB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Bilten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E532C7" w:rsidRPr="003372AA" w:rsidRDefault="003F4141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E532C7" w:rsidRPr="003372AA" w:rsidRDefault="009A1DD4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Dvom</w:t>
            </w:r>
            <w:r w:rsidR="007D5CE1" w:rsidRPr="003372AA">
              <w:rPr>
                <w:rFonts w:ascii="Times New Roman" w:hAnsi="Times New Roman" w:cs="Times New Roman"/>
                <w:sz w:val="22"/>
                <w:szCs w:val="22"/>
              </w:rPr>
              <w:t>jese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čno</w:t>
            </w:r>
          </w:p>
        </w:tc>
      </w:tr>
      <w:tr w:rsidR="009A1DD4" w:rsidTr="00730239">
        <w:tc>
          <w:tcPr>
            <w:tcW w:w="1419" w:type="dxa"/>
            <w:vMerge/>
            <w:shd w:val="clear" w:color="auto" w:fill="F7CAAC" w:themeFill="accent2" w:themeFillTint="66"/>
          </w:tcPr>
          <w:p w:rsidR="00E532C7" w:rsidRPr="003372AA" w:rsidRDefault="00E532C7" w:rsidP="00E532C7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E532C7" w:rsidRPr="003372AA" w:rsidRDefault="00B82730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Izvješća (sažeci</w:t>
            </w:r>
            <w:r w:rsidR="00E532C7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532C7" w:rsidRPr="003372AA" w:rsidRDefault="00E532C7" w:rsidP="004D37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UAEU</w:t>
            </w:r>
            <w:r w:rsidR="00D93E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722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(Urbana </w:t>
            </w:r>
            <w:proofErr w:type="spellStart"/>
            <w:r w:rsidR="004D3722" w:rsidRPr="003372AA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  <w:proofErr w:type="spellEnd"/>
            <w:r w:rsidR="004D3722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za Europsku uniju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3722" w:rsidRPr="003372AA">
              <w:rPr>
                <w:rFonts w:ascii="Times New Roman" w:hAnsi="Times New Roman" w:cs="Times New Roman"/>
                <w:sz w:val="22"/>
                <w:szCs w:val="22"/>
              </w:rPr>
              <w:t>(proširena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4D3722" w:rsidRPr="003372AA">
              <w:rPr>
                <w:rFonts w:ascii="Times New Roman" w:hAnsi="Times New Roman" w:cs="Times New Roman"/>
                <w:sz w:val="22"/>
                <w:szCs w:val="22"/>
              </w:rPr>
              <w:t>Mreža za akcijsko planiranje</w:t>
            </w:r>
          </w:p>
        </w:tc>
        <w:tc>
          <w:tcPr>
            <w:tcW w:w="1094" w:type="dxa"/>
            <w:shd w:val="clear" w:color="auto" w:fill="F7CAAC" w:themeFill="accent2" w:themeFillTint="66"/>
          </w:tcPr>
          <w:p w:rsidR="00E532C7" w:rsidRPr="003372AA" w:rsidRDefault="00704CBB" w:rsidP="00D93E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Statič</w:t>
            </w:r>
            <w:r w:rsidR="00D93E7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a web stranica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E532C7" w:rsidRPr="003372AA" w:rsidRDefault="003F4141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E532C7" w:rsidRPr="003372AA" w:rsidRDefault="009A1DD4" w:rsidP="00E532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Dvomjesečno</w:t>
            </w:r>
          </w:p>
        </w:tc>
      </w:tr>
      <w:tr w:rsidR="009A1DD4" w:rsidTr="00730239">
        <w:tc>
          <w:tcPr>
            <w:tcW w:w="1419" w:type="dxa"/>
            <w:vMerge w:val="restart"/>
            <w:shd w:val="clear" w:color="auto" w:fill="FFD966" w:themeFill="accent4" w:themeFillTint="99"/>
          </w:tcPr>
          <w:p w:rsidR="00C7287E" w:rsidRPr="003372AA" w:rsidRDefault="0098208A" w:rsidP="00C7287E">
            <w:pPr>
              <w:rPr>
                <w:rFonts w:cs="Times New Roman"/>
                <w:sz w:val="22"/>
              </w:rPr>
            </w:pPr>
            <w:r w:rsidRPr="003372AA">
              <w:rPr>
                <w:rFonts w:cs="Times New Roman"/>
                <w:sz w:val="22"/>
              </w:rPr>
              <w:t>URBACT lokalna radna skupina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C7287E" w:rsidRPr="003372AA" w:rsidRDefault="00FF5671" w:rsidP="00C72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Izloženost i vidljivost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7287E" w:rsidRPr="003372AA" w:rsidRDefault="003E050B" w:rsidP="003E05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Ciljevi, profili i slike </w:t>
            </w:r>
            <w:r w:rsidR="00B30F7C" w:rsidRPr="003372AA">
              <w:rPr>
                <w:rFonts w:ascii="Times New Roman" w:hAnsi="Times New Roman" w:cs="Times New Roman"/>
                <w:sz w:val="22"/>
                <w:szCs w:val="22"/>
              </w:rPr>
              <w:t>URBACT lokalne radne skupine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287E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videozapisi članova URBACT lokalne radne skupine</w:t>
            </w:r>
          </w:p>
        </w:tc>
        <w:tc>
          <w:tcPr>
            <w:tcW w:w="1094" w:type="dxa"/>
            <w:shd w:val="clear" w:color="auto" w:fill="FFD966" w:themeFill="accent4" w:themeFillTint="99"/>
          </w:tcPr>
          <w:p w:rsidR="00C7287E" w:rsidRPr="003372AA" w:rsidRDefault="00C7287E" w:rsidP="00D93E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Twitter, YouTube </w:t>
            </w:r>
            <w:r w:rsidR="00704CBB" w:rsidRPr="003372A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CBB" w:rsidRPr="003372AA">
              <w:rPr>
                <w:rFonts w:ascii="Times New Roman" w:hAnsi="Times New Roman" w:cs="Times New Roman"/>
                <w:sz w:val="22"/>
                <w:szCs w:val="22"/>
              </w:rPr>
              <w:t>statič</w:t>
            </w:r>
            <w:r w:rsidR="00D93E7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704CBB" w:rsidRPr="003372AA">
              <w:rPr>
                <w:rFonts w:ascii="Times New Roman" w:hAnsi="Times New Roman" w:cs="Times New Roman"/>
                <w:sz w:val="22"/>
                <w:szCs w:val="22"/>
              </w:rPr>
              <w:t>a web stranica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:rsidR="00C7287E" w:rsidRPr="003372AA" w:rsidRDefault="003F4141" w:rsidP="00C72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FFD966" w:themeFill="accent4" w:themeFillTint="99"/>
          </w:tcPr>
          <w:p w:rsidR="00C7287E" w:rsidRPr="003372AA" w:rsidRDefault="00F019C6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Prije ili nakon sastanka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 xml:space="preserve"> URBACT lokalne radne skupine</w:t>
            </w:r>
          </w:p>
        </w:tc>
      </w:tr>
      <w:tr w:rsidR="009A1DD4" w:rsidTr="00B731BF">
        <w:trPr>
          <w:trHeight w:val="1550"/>
        </w:trPr>
        <w:tc>
          <w:tcPr>
            <w:tcW w:w="1419" w:type="dxa"/>
            <w:vMerge/>
            <w:shd w:val="clear" w:color="auto" w:fill="FFD966" w:themeFill="accent4" w:themeFillTint="99"/>
          </w:tcPr>
          <w:p w:rsidR="00C7287E" w:rsidRPr="003372AA" w:rsidRDefault="00C7287E" w:rsidP="00C7287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C7287E" w:rsidRPr="003372AA" w:rsidRDefault="00235A50" w:rsidP="00235A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Najbolje prakse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7287E" w:rsidRPr="003372AA" w:rsidRDefault="002C7239" w:rsidP="002C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Slike, videozapisi i rezultati (sažeci)</w:t>
            </w:r>
          </w:p>
        </w:tc>
        <w:tc>
          <w:tcPr>
            <w:tcW w:w="1094" w:type="dxa"/>
            <w:shd w:val="clear" w:color="auto" w:fill="FFD966" w:themeFill="accent4" w:themeFillTint="99"/>
          </w:tcPr>
          <w:p w:rsidR="00EC3B71" w:rsidRPr="003372AA" w:rsidRDefault="00C7287E" w:rsidP="00EC3B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Twitter, YouTube </w:t>
            </w:r>
            <w:r w:rsidR="00EC3B71" w:rsidRPr="003372A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</w:p>
          <w:p w:rsidR="00C7287E" w:rsidRPr="003372AA" w:rsidRDefault="00EC3B71" w:rsidP="00D93E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statič</w:t>
            </w:r>
            <w:r w:rsidR="00D93E7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a web stranica</w:t>
            </w:r>
          </w:p>
        </w:tc>
        <w:tc>
          <w:tcPr>
            <w:tcW w:w="2265" w:type="dxa"/>
            <w:shd w:val="clear" w:color="auto" w:fill="FFD966" w:themeFill="accent4" w:themeFillTint="99"/>
          </w:tcPr>
          <w:p w:rsidR="00C7287E" w:rsidRPr="003372AA" w:rsidRDefault="003F4141" w:rsidP="00C72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Proširena mreža</w:t>
            </w:r>
          </w:p>
        </w:tc>
        <w:tc>
          <w:tcPr>
            <w:tcW w:w="1603" w:type="dxa"/>
            <w:shd w:val="clear" w:color="auto" w:fill="FFD966" w:themeFill="accent4" w:themeFillTint="99"/>
          </w:tcPr>
          <w:p w:rsidR="00C7287E" w:rsidRPr="003372AA" w:rsidRDefault="00F019C6" w:rsidP="009A1D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72AA">
              <w:rPr>
                <w:rFonts w:ascii="Times New Roman" w:hAnsi="Times New Roman" w:cs="Times New Roman"/>
                <w:sz w:val="22"/>
                <w:szCs w:val="22"/>
              </w:rPr>
              <w:t>Prije ili nakon sastanka</w:t>
            </w:r>
            <w:r w:rsidR="009A1DD4">
              <w:rPr>
                <w:rFonts w:ascii="Times New Roman" w:hAnsi="Times New Roman" w:cs="Times New Roman"/>
                <w:sz w:val="22"/>
                <w:szCs w:val="22"/>
              </w:rPr>
              <w:t xml:space="preserve"> URBACT lokalne radne skupine</w:t>
            </w:r>
          </w:p>
        </w:tc>
      </w:tr>
    </w:tbl>
    <w:p w:rsidR="00DB6F10" w:rsidRDefault="00DB6F10" w:rsidP="00C5486C"/>
    <w:sectPr w:rsidR="00DB6F10" w:rsidSect="00B04302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BB" w:rsidRDefault="00666DBB" w:rsidP="004E6BE4">
      <w:pPr>
        <w:spacing w:after="0" w:line="240" w:lineRule="auto"/>
      </w:pPr>
      <w:r>
        <w:separator/>
      </w:r>
    </w:p>
  </w:endnote>
  <w:endnote w:type="continuationSeparator" w:id="0">
    <w:p w:rsidR="00666DBB" w:rsidRDefault="00666DBB" w:rsidP="004E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541777"/>
      <w:docPartObj>
        <w:docPartGallery w:val="Page Numbers (Bottom of Page)"/>
        <w:docPartUnique/>
      </w:docPartObj>
    </w:sdtPr>
    <w:sdtEndPr/>
    <w:sdtContent>
      <w:p w:rsidR="0085465B" w:rsidRDefault="008546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49D">
          <w:rPr>
            <w:noProof/>
          </w:rPr>
          <w:t>1</w:t>
        </w:r>
        <w:r>
          <w:fldChar w:fldCharType="end"/>
        </w:r>
      </w:p>
    </w:sdtContent>
  </w:sdt>
  <w:p w:rsidR="004E6BE4" w:rsidRDefault="004E6B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BB" w:rsidRDefault="00666DBB" w:rsidP="004E6BE4">
      <w:pPr>
        <w:spacing w:after="0" w:line="240" w:lineRule="auto"/>
      </w:pPr>
      <w:r>
        <w:separator/>
      </w:r>
    </w:p>
  </w:footnote>
  <w:footnote w:type="continuationSeparator" w:id="0">
    <w:p w:rsidR="00666DBB" w:rsidRDefault="00666DBB" w:rsidP="004E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57D34F"/>
    <w:multiLevelType w:val="hybridMultilevel"/>
    <w:tmpl w:val="6723F2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DF0D26"/>
    <w:multiLevelType w:val="hybridMultilevel"/>
    <w:tmpl w:val="4775C7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719803"/>
    <w:multiLevelType w:val="hybridMultilevel"/>
    <w:tmpl w:val="54232A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2A1F5E"/>
    <w:multiLevelType w:val="hybridMultilevel"/>
    <w:tmpl w:val="7C7FA8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31E557"/>
    <w:multiLevelType w:val="hybridMultilevel"/>
    <w:tmpl w:val="22542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44C079"/>
    <w:multiLevelType w:val="hybridMultilevel"/>
    <w:tmpl w:val="844400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0D849B"/>
    <w:multiLevelType w:val="hybridMultilevel"/>
    <w:tmpl w:val="4673E1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523E55"/>
    <w:multiLevelType w:val="hybridMultilevel"/>
    <w:tmpl w:val="F032D6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2A06FD"/>
    <w:multiLevelType w:val="hybridMultilevel"/>
    <w:tmpl w:val="A468CF14"/>
    <w:lvl w:ilvl="0" w:tplc="FFFFFFFF">
      <w:start w:val="1"/>
      <w:numFmt w:val="bullet"/>
      <w:lvlText w:val="•"/>
      <w:lvlJc w:val="left"/>
      <w:pPr>
        <w:ind w:left="1141" w:hanging="360"/>
      </w:p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70570ED5"/>
    <w:multiLevelType w:val="hybridMultilevel"/>
    <w:tmpl w:val="64B5168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614713"/>
    <w:multiLevelType w:val="hybridMultilevel"/>
    <w:tmpl w:val="A58EBFB6"/>
    <w:lvl w:ilvl="0" w:tplc="7FA0A19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4"/>
    <w:rsid w:val="0001377E"/>
    <w:rsid w:val="00017023"/>
    <w:rsid w:val="0003278E"/>
    <w:rsid w:val="00035376"/>
    <w:rsid w:val="000367D8"/>
    <w:rsid w:val="000422E9"/>
    <w:rsid w:val="00047F9E"/>
    <w:rsid w:val="00050372"/>
    <w:rsid w:val="000627EF"/>
    <w:rsid w:val="00064138"/>
    <w:rsid w:val="00081141"/>
    <w:rsid w:val="00081189"/>
    <w:rsid w:val="00081DAF"/>
    <w:rsid w:val="000872E8"/>
    <w:rsid w:val="0009023F"/>
    <w:rsid w:val="00096316"/>
    <w:rsid w:val="000A41C8"/>
    <w:rsid w:val="000A5772"/>
    <w:rsid w:val="000A5B26"/>
    <w:rsid w:val="000A5BF5"/>
    <w:rsid w:val="000B04C7"/>
    <w:rsid w:val="000B299A"/>
    <w:rsid w:val="000C5376"/>
    <w:rsid w:val="000D37A1"/>
    <w:rsid w:val="000E0F3E"/>
    <w:rsid w:val="000E2FB5"/>
    <w:rsid w:val="000F1548"/>
    <w:rsid w:val="000F6E0C"/>
    <w:rsid w:val="001043EC"/>
    <w:rsid w:val="00115654"/>
    <w:rsid w:val="00116BBB"/>
    <w:rsid w:val="00123D91"/>
    <w:rsid w:val="00126408"/>
    <w:rsid w:val="0012704E"/>
    <w:rsid w:val="00133E03"/>
    <w:rsid w:val="00135A97"/>
    <w:rsid w:val="0014028F"/>
    <w:rsid w:val="00141A2F"/>
    <w:rsid w:val="001477F8"/>
    <w:rsid w:val="001508D5"/>
    <w:rsid w:val="0015430A"/>
    <w:rsid w:val="00156BF2"/>
    <w:rsid w:val="00165892"/>
    <w:rsid w:val="001661F4"/>
    <w:rsid w:val="00175B81"/>
    <w:rsid w:val="00177168"/>
    <w:rsid w:val="0018172D"/>
    <w:rsid w:val="00183B97"/>
    <w:rsid w:val="00183F5A"/>
    <w:rsid w:val="00186AFF"/>
    <w:rsid w:val="001900CA"/>
    <w:rsid w:val="0019439D"/>
    <w:rsid w:val="001A3110"/>
    <w:rsid w:val="001A479F"/>
    <w:rsid w:val="001B549F"/>
    <w:rsid w:val="001C0036"/>
    <w:rsid w:val="001C118E"/>
    <w:rsid w:val="001C5139"/>
    <w:rsid w:val="001D5BD0"/>
    <w:rsid w:val="001E0F1F"/>
    <w:rsid w:val="001E34E1"/>
    <w:rsid w:val="001F1848"/>
    <w:rsid w:val="001F6A14"/>
    <w:rsid w:val="00201F5C"/>
    <w:rsid w:val="00205016"/>
    <w:rsid w:val="00205385"/>
    <w:rsid w:val="00212950"/>
    <w:rsid w:val="00224895"/>
    <w:rsid w:val="00230A79"/>
    <w:rsid w:val="00235A50"/>
    <w:rsid w:val="00236A5B"/>
    <w:rsid w:val="0024152A"/>
    <w:rsid w:val="0024283E"/>
    <w:rsid w:val="00245087"/>
    <w:rsid w:val="00247DA4"/>
    <w:rsid w:val="00256F5D"/>
    <w:rsid w:val="0026093E"/>
    <w:rsid w:val="00261BB0"/>
    <w:rsid w:val="002638AB"/>
    <w:rsid w:val="00265301"/>
    <w:rsid w:val="002658A7"/>
    <w:rsid w:val="002673CA"/>
    <w:rsid w:val="00267CA4"/>
    <w:rsid w:val="00272ED0"/>
    <w:rsid w:val="00273595"/>
    <w:rsid w:val="00273C4E"/>
    <w:rsid w:val="00280F70"/>
    <w:rsid w:val="00281597"/>
    <w:rsid w:val="002A27F4"/>
    <w:rsid w:val="002B48DC"/>
    <w:rsid w:val="002B5BD0"/>
    <w:rsid w:val="002B63A3"/>
    <w:rsid w:val="002C03EB"/>
    <w:rsid w:val="002C7239"/>
    <w:rsid w:val="002D0598"/>
    <w:rsid w:val="002D2B9D"/>
    <w:rsid w:val="002D4CDB"/>
    <w:rsid w:val="002D4CF4"/>
    <w:rsid w:val="002D5438"/>
    <w:rsid w:val="002F1D6B"/>
    <w:rsid w:val="002F56EE"/>
    <w:rsid w:val="00302A48"/>
    <w:rsid w:val="00306F91"/>
    <w:rsid w:val="00311B91"/>
    <w:rsid w:val="00315890"/>
    <w:rsid w:val="00324A3B"/>
    <w:rsid w:val="00330848"/>
    <w:rsid w:val="00331FE0"/>
    <w:rsid w:val="00336E42"/>
    <w:rsid w:val="003372AA"/>
    <w:rsid w:val="0034426C"/>
    <w:rsid w:val="00345C15"/>
    <w:rsid w:val="003477E1"/>
    <w:rsid w:val="00347B62"/>
    <w:rsid w:val="00351F97"/>
    <w:rsid w:val="003524B9"/>
    <w:rsid w:val="0035591E"/>
    <w:rsid w:val="00356F44"/>
    <w:rsid w:val="00362C0A"/>
    <w:rsid w:val="003639E5"/>
    <w:rsid w:val="0036720D"/>
    <w:rsid w:val="0037417C"/>
    <w:rsid w:val="003819C6"/>
    <w:rsid w:val="003858C1"/>
    <w:rsid w:val="003862E6"/>
    <w:rsid w:val="00392843"/>
    <w:rsid w:val="003A0B98"/>
    <w:rsid w:val="003B0FD5"/>
    <w:rsid w:val="003B4605"/>
    <w:rsid w:val="003B461E"/>
    <w:rsid w:val="003B5067"/>
    <w:rsid w:val="003B6BFD"/>
    <w:rsid w:val="003C18AD"/>
    <w:rsid w:val="003D10EC"/>
    <w:rsid w:val="003D3F34"/>
    <w:rsid w:val="003D6AEA"/>
    <w:rsid w:val="003D7E18"/>
    <w:rsid w:val="003E050B"/>
    <w:rsid w:val="003F27BA"/>
    <w:rsid w:val="003F4141"/>
    <w:rsid w:val="003F5453"/>
    <w:rsid w:val="00401A17"/>
    <w:rsid w:val="00404FE7"/>
    <w:rsid w:val="00406267"/>
    <w:rsid w:val="004106B2"/>
    <w:rsid w:val="00410A15"/>
    <w:rsid w:val="00412462"/>
    <w:rsid w:val="00416258"/>
    <w:rsid w:val="00427374"/>
    <w:rsid w:val="00433E4A"/>
    <w:rsid w:val="004505B5"/>
    <w:rsid w:val="0045064C"/>
    <w:rsid w:val="004507B3"/>
    <w:rsid w:val="004518BA"/>
    <w:rsid w:val="00454B88"/>
    <w:rsid w:val="00455D86"/>
    <w:rsid w:val="00457F85"/>
    <w:rsid w:val="00462E7D"/>
    <w:rsid w:val="00466D7B"/>
    <w:rsid w:val="00472701"/>
    <w:rsid w:val="004734DF"/>
    <w:rsid w:val="004743AA"/>
    <w:rsid w:val="00477AB0"/>
    <w:rsid w:val="0048797D"/>
    <w:rsid w:val="00490777"/>
    <w:rsid w:val="00496628"/>
    <w:rsid w:val="004A3743"/>
    <w:rsid w:val="004A37E2"/>
    <w:rsid w:val="004A69EB"/>
    <w:rsid w:val="004A7D64"/>
    <w:rsid w:val="004B36E6"/>
    <w:rsid w:val="004C4A3C"/>
    <w:rsid w:val="004C6324"/>
    <w:rsid w:val="004C68AE"/>
    <w:rsid w:val="004D1E16"/>
    <w:rsid w:val="004D3722"/>
    <w:rsid w:val="004E101E"/>
    <w:rsid w:val="004E1307"/>
    <w:rsid w:val="004E4842"/>
    <w:rsid w:val="004E6BE4"/>
    <w:rsid w:val="004F2796"/>
    <w:rsid w:val="004F38AD"/>
    <w:rsid w:val="004F7124"/>
    <w:rsid w:val="00500E1B"/>
    <w:rsid w:val="00503983"/>
    <w:rsid w:val="00510BD2"/>
    <w:rsid w:val="00512067"/>
    <w:rsid w:val="00512FB8"/>
    <w:rsid w:val="00523FE7"/>
    <w:rsid w:val="00524FE4"/>
    <w:rsid w:val="00537E94"/>
    <w:rsid w:val="005405C8"/>
    <w:rsid w:val="00541CD2"/>
    <w:rsid w:val="0054290E"/>
    <w:rsid w:val="00553191"/>
    <w:rsid w:val="0055407C"/>
    <w:rsid w:val="005575FD"/>
    <w:rsid w:val="00562ACC"/>
    <w:rsid w:val="00566AF0"/>
    <w:rsid w:val="005704CE"/>
    <w:rsid w:val="005764E5"/>
    <w:rsid w:val="00577E6A"/>
    <w:rsid w:val="005812A9"/>
    <w:rsid w:val="00581925"/>
    <w:rsid w:val="0058649E"/>
    <w:rsid w:val="00592DA1"/>
    <w:rsid w:val="005944DF"/>
    <w:rsid w:val="00594E85"/>
    <w:rsid w:val="00597AC3"/>
    <w:rsid w:val="005A290F"/>
    <w:rsid w:val="005B6495"/>
    <w:rsid w:val="005C6527"/>
    <w:rsid w:val="005D1CC0"/>
    <w:rsid w:val="005D7531"/>
    <w:rsid w:val="005E0796"/>
    <w:rsid w:val="005E5709"/>
    <w:rsid w:val="005E6B1F"/>
    <w:rsid w:val="005F1DB2"/>
    <w:rsid w:val="005F51E7"/>
    <w:rsid w:val="005F71E9"/>
    <w:rsid w:val="006221F7"/>
    <w:rsid w:val="00622AF4"/>
    <w:rsid w:val="006341DA"/>
    <w:rsid w:val="006345E6"/>
    <w:rsid w:val="006355D5"/>
    <w:rsid w:val="0064609C"/>
    <w:rsid w:val="006475BD"/>
    <w:rsid w:val="00651150"/>
    <w:rsid w:val="0066019C"/>
    <w:rsid w:val="00661496"/>
    <w:rsid w:val="0066367F"/>
    <w:rsid w:val="0066469C"/>
    <w:rsid w:val="00666DBB"/>
    <w:rsid w:val="00671FBC"/>
    <w:rsid w:val="006721F4"/>
    <w:rsid w:val="00672D6D"/>
    <w:rsid w:val="0067387F"/>
    <w:rsid w:val="00680260"/>
    <w:rsid w:val="00687130"/>
    <w:rsid w:val="006921E2"/>
    <w:rsid w:val="006B10BF"/>
    <w:rsid w:val="006B23F0"/>
    <w:rsid w:val="006B45EA"/>
    <w:rsid w:val="006C192A"/>
    <w:rsid w:val="006C41E0"/>
    <w:rsid w:val="006D124A"/>
    <w:rsid w:val="006D77FE"/>
    <w:rsid w:val="006E044C"/>
    <w:rsid w:val="006F0AA1"/>
    <w:rsid w:val="006F15D1"/>
    <w:rsid w:val="006F39DE"/>
    <w:rsid w:val="006F4E23"/>
    <w:rsid w:val="00704CBB"/>
    <w:rsid w:val="00711B5B"/>
    <w:rsid w:val="0071607F"/>
    <w:rsid w:val="00720D13"/>
    <w:rsid w:val="00721A2F"/>
    <w:rsid w:val="00725A9D"/>
    <w:rsid w:val="00730239"/>
    <w:rsid w:val="007321B5"/>
    <w:rsid w:val="00741466"/>
    <w:rsid w:val="00753311"/>
    <w:rsid w:val="0076722C"/>
    <w:rsid w:val="00775074"/>
    <w:rsid w:val="00775E93"/>
    <w:rsid w:val="00782458"/>
    <w:rsid w:val="007835D1"/>
    <w:rsid w:val="00785555"/>
    <w:rsid w:val="007905D1"/>
    <w:rsid w:val="00792B7A"/>
    <w:rsid w:val="00797891"/>
    <w:rsid w:val="007A3B70"/>
    <w:rsid w:val="007A5C94"/>
    <w:rsid w:val="007A5E6F"/>
    <w:rsid w:val="007B337A"/>
    <w:rsid w:val="007B44EB"/>
    <w:rsid w:val="007B6002"/>
    <w:rsid w:val="007B6AE3"/>
    <w:rsid w:val="007C1693"/>
    <w:rsid w:val="007C52DC"/>
    <w:rsid w:val="007C73E0"/>
    <w:rsid w:val="007D5CE1"/>
    <w:rsid w:val="007E0184"/>
    <w:rsid w:val="007E6AF6"/>
    <w:rsid w:val="007E7BCA"/>
    <w:rsid w:val="007F189A"/>
    <w:rsid w:val="007F2BA9"/>
    <w:rsid w:val="007F632F"/>
    <w:rsid w:val="007F6924"/>
    <w:rsid w:val="00806BB5"/>
    <w:rsid w:val="008122CA"/>
    <w:rsid w:val="008144B9"/>
    <w:rsid w:val="0082180C"/>
    <w:rsid w:val="00824A04"/>
    <w:rsid w:val="008423C4"/>
    <w:rsid w:val="00842786"/>
    <w:rsid w:val="00843EB5"/>
    <w:rsid w:val="00853412"/>
    <w:rsid w:val="0085465B"/>
    <w:rsid w:val="00855295"/>
    <w:rsid w:val="00855E00"/>
    <w:rsid w:val="00856867"/>
    <w:rsid w:val="0085791D"/>
    <w:rsid w:val="00857D8E"/>
    <w:rsid w:val="00863A60"/>
    <w:rsid w:val="00864DFD"/>
    <w:rsid w:val="00874B3D"/>
    <w:rsid w:val="0088249C"/>
    <w:rsid w:val="00884059"/>
    <w:rsid w:val="00886045"/>
    <w:rsid w:val="008A019A"/>
    <w:rsid w:val="008C0F7F"/>
    <w:rsid w:val="008C4668"/>
    <w:rsid w:val="008C7BBB"/>
    <w:rsid w:val="008C7F22"/>
    <w:rsid w:val="008D0345"/>
    <w:rsid w:val="008D219F"/>
    <w:rsid w:val="008E1707"/>
    <w:rsid w:val="008E74D9"/>
    <w:rsid w:val="008E78A6"/>
    <w:rsid w:val="008F55E9"/>
    <w:rsid w:val="008F6864"/>
    <w:rsid w:val="008F7AB4"/>
    <w:rsid w:val="009010FF"/>
    <w:rsid w:val="00901C2E"/>
    <w:rsid w:val="00921A1F"/>
    <w:rsid w:val="00924956"/>
    <w:rsid w:val="00926630"/>
    <w:rsid w:val="009274BB"/>
    <w:rsid w:val="009316C4"/>
    <w:rsid w:val="00937C9E"/>
    <w:rsid w:val="00942AFA"/>
    <w:rsid w:val="00973DBB"/>
    <w:rsid w:val="00975B09"/>
    <w:rsid w:val="0098208A"/>
    <w:rsid w:val="009826A5"/>
    <w:rsid w:val="009854D5"/>
    <w:rsid w:val="00986584"/>
    <w:rsid w:val="009A1DD4"/>
    <w:rsid w:val="009A2728"/>
    <w:rsid w:val="009A7CEF"/>
    <w:rsid w:val="009A7FD9"/>
    <w:rsid w:val="009B2189"/>
    <w:rsid w:val="009B7E33"/>
    <w:rsid w:val="009C01F6"/>
    <w:rsid w:val="009C53BD"/>
    <w:rsid w:val="009C56B7"/>
    <w:rsid w:val="009C5B21"/>
    <w:rsid w:val="009D1408"/>
    <w:rsid w:val="009D312E"/>
    <w:rsid w:val="009D7AAB"/>
    <w:rsid w:val="009E3D9C"/>
    <w:rsid w:val="009E4C19"/>
    <w:rsid w:val="009F209D"/>
    <w:rsid w:val="00A00635"/>
    <w:rsid w:val="00A00759"/>
    <w:rsid w:val="00A07426"/>
    <w:rsid w:val="00A13C02"/>
    <w:rsid w:val="00A27109"/>
    <w:rsid w:val="00A35524"/>
    <w:rsid w:val="00A372A5"/>
    <w:rsid w:val="00A43819"/>
    <w:rsid w:val="00A46C15"/>
    <w:rsid w:val="00A501A9"/>
    <w:rsid w:val="00A5319E"/>
    <w:rsid w:val="00A54C19"/>
    <w:rsid w:val="00A54C1A"/>
    <w:rsid w:val="00A65E3E"/>
    <w:rsid w:val="00A67969"/>
    <w:rsid w:val="00A73E31"/>
    <w:rsid w:val="00A76810"/>
    <w:rsid w:val="00A83FAB"/>
    <w:rsid w:val="00A90124"/>
    <w:rsid w:val="00A92C3C"/>
    <w:rsid w:val="00A96F46"/>
    <w:rsid w:val="00AA3CC7"/>
    <w:rsid w:val="00AB1D09"/>
    <w:rsid w:val="00AC302E"/>
    <w:rsid w:val="00AC5320"/>
    <w:rsid w:val="00AD575D"/>
    <w:rsid w:val="00AF069E"/>
    <w:rsid w:val="00AF1D1A"/>
    <w:rsid w:val="00B04302"/>
    <w:rsid w:val="00B05D1B"/>
    <w:rsid w:val="00B1108D"/>
    <w:rsid w:val="00B13414"/>
    <w:rsid w:val="00B2451A"/>
    <w:rsid w:val="00B249B3"/>
    <w:rsid w:val="00B30F7C"/>
    <w:rsid w:val="00B312CB"/>
    <w:rsid w:val="00B3795E"/>
    <w:rsid w:val="00B46207"/>
    <w:rsid w:val="00B502A6"/>
    <w:rsid w:val="00B52D35"/>
    <w:rsid w:val="00B60BD5"/>
    <w:rsid w:val="00B6163F"/>
    <w:rsid w:val="00B63B78"/>
    <w:rsid w:val="00B65C3C"/>
    <w:rsid w:val="00B731BF"/>
    <w:rsid w:val="00B731FB"/>
    <w:rsid w:val="00B76916"/>
    <w:rsid w:val="00B811E5"/>
    <w:rsid w:val="00B82730"/>
    <w:rsid w:val="00B83F81"/>
    <w:rsid w:val="00B87CA8"/>
    <w:rsid w:val="00B904B5"/>
    <w:rsid w:val="00B913AC"/>
    <w:rsid w:val="00B9406D"/>
    <w:rsid w:val="00BB189A"/>
    <w:rsid w:val="00BB27AE"/>
    <w:rsid w:val="00BC4C09"/>
    <w:rsid w:val="00BD0701"/>
    <w:rsid w:val="00BD1353"/>
    <w:rsid w:val="00BD6494"/>
    <w:rsid w:val="00C0752F"/>
    <w:rsid w:val="00C1043F"/>
    <w:rsid w:val="00C1246B"/>
    <w:rsid w:val="00C13785"/>
    <w:rsid w:val="00C172FF"/>
    <w:rsid w:val="00C2205F"/>
    <w:rsid w:val="00C27C71"/>
    <w:rsid w:val="00C33D0B"/>
    <w:rsid w:val="00C34ED1"/>
    <w:rsid w:val="00C35160"/>
    <w:rsid w:val="00C35C66"/>
    <w:rsid w:val="00C40963"/>
    <w:rsid w:val="00C50E57"/>
    <w:rsid w:val="00C5486C"/>
    <w:rsid w:val="00C55C45"/>
    <w:rsid w:val="00C62AF2"/>
    <w:rsid w:val="00C6633B"/>
    <w:rsid w:val="00C66C5C"/>
    <w:rsid w:val="00C67DD1"/>
    <w:rsid w:val="00C70C29"/>
    <w:rsid w:val="00C7287E"/>
    <w:rsid w:val="00C7295E"/>
    <w:rsid w:val="00C759C8"/>
    <w:rsid w:val="00C767B7"/>
    <w:rsid w:val="00C804F2"/>
    <w:rsid w:val="00C83760"/>
    <w:rsid w:val="00C8477F"/>
    <w:rsid w:val="00CA15DC"/>
    <w:rsid w:val="00CB2EE7"/>
    <w:rsid w:val="00CB58C3"/>
    <w:rsid w:val="00CB5D37"/>
    <w:rsid w:val="00CC27F6"/>
    <w:rsid w:val="00CC5F3A"/>
    <w:rsid w:val="00CD0FD1"/>
    <w:rsid w:val="00CD3326"/>
    <w:rsid w:val="00CD795C"/>
    <w:rsid w:val="00CF31F0"/>
    <w:rsid w:val="00CF6C03"/>
    <w:rsid w:val="00D05D5B"/>
    <w:rsid w:val="00D13609"/>
    <w:rsid w:val="00D13783"/>
    <w:rsid w:val="00D2144C"/>
    <w:rsid w:val="00D214D3"/>
    <w:rsid w:val="00D25895"/>
    <w:rsid w:val="00D30302"/>
    <w:rsid w:val="00D32955"/>
    <w:rsid w:val="00D41A5C"/>
    <w:rsid w:val="00D44D8D"/>
    <w:rsid w:val="00D46D3C"/>
    <w:rsid w:val="00D50A64"/>
    <w:rsid w:val="00D5417C"/>
    <w:rsid w:val="00D55294"/>
    <w:rsid w:val="00D6573B"/>
    <w:rsid w:val="00D74814"/>
    <w:rsid w:val="00D779E2"/>
    <w:rsid w:val="00D931F8"/>
    <w:rsid w:val="00D93E72"/>
    <w:rsid w:val="00D9615E"/>
    <w:rsid w:val="00DA0345"/>
    <w:rsid w:val="00DA2AC0"/>
    <w:rsid w:val="00DA72F8"/>
    <w:rsid w:val="00DB1255"/>
    <w:rsid w:val="00DB2A2A"/>
    <w:rsid w:val="00DB6F10"/>
    <w:rsid w:val="00DB725A"/>
    <w:rsid w:val="00DD46C2"/>
    <w:rsid w:val="00DD7CB4"/>
    <w:rsid w:val="00DF027F"/>
    <w:rsid w:val="00DF526E"/>
    <w:rsid w:val="00DF749D"/>
    <w:rsid w:val="00DF7B02"/>
    <w:rsid w:val="00E0074D"/>
    <w:rsid w:val="00E00B14"/>
    <w:rsid w:val="00E02D83"/>
    <w:rsid w:val="00E11302"/>
    <w:rsid w:val="00E16EC8"/>
    <w:rsid w:val="00E21831"/>
    <w:rsid w:val="00E25FE9"/>
    <w:rsid w:val="00E35034"/>
    <w:rsid w:val="00E45F32"/>
    <w:rsid w:val="00E46580"/>
    <w:rsid w:val="00E50EE7"/>
    <w:rsid w:val="00E52E8E"/>
    <w:rsid w:val="00E532C7"/>
    <w:rsid w:val="00E61AE1"/>
    <w:rsid w:val="00E70302"/>
    <w:rsid w:val="00E71C74"/>
    <w:rsid w:val="00E72F5C"/>
    <w:rsid w:val="00E745D1"/>
    <w:rsid w:val="00E87040"/>
    <w:rsid w:val="00E9017F"/>
    <w:rsid w:val="00E9458C"/>
    <w:rsid w:val="00E94BC5"/>
    <w:rsid w:val="00E97A60"/>
    <w:rsid w:val="00EA2A2D"/>
    <w:rsid w:val="00EA4979"/>
    <w:rsid w:val="00EA49AD"/>
    <w:rsid w:val="00EA63CF"/>
    <w:rsid w:val="00EA6F49"/>
    <w:rsid w:val="00EB79F1"/>
    <w:rsid w:val="00EC1C20"/>
    <w:rsid w:val="00EC3B71"/>
    <w:rsid w:val="00ED03E6"/>
    <w:rsid w:val="00ED274F"/>
    <w:rsid w:val="00ED445B"/>
    <w:rsid w:val="00EE5A2D"/>
    <w:rsid w:val="00F019C6"/>
    <w:rsid w:val="00F20C75"/>
    <w:rsid w:val="00F227CE"/>
    <w:rsid w:val="00F37E5F"/>
    <w:rsid w:val="00F40889"/>
    <w:rsid w:val="00F41349"/>
    <w:rsid w:val="00F445B0"/>
    <w:rsid w:val="00F45744"/>
    <w:rsid w:val="00F470B8"/>
    <w:rsid w:val="00F51C0C"/>
    <w:rsid w:val="00F5563E"/>
    <w:rsid w:val="00F55D3B"/>
    <w:rsid w:val="00F60A69"/>
    <w:rsid w:val="00F61B6B"/>
    <w:rsid w:val="00F649E2"/>
    <w:rsid w:val="00F66123"/>
    <w:rsid w:val="00F742A1"/>
    <w:rsid w:val="00F7514F"/>
    <w:rsid w:val="00F8127D"/>
    <w:rsid w:val="00F864C7"/>
    <w:rsid w:val="00F93ABC"/>
    <w:rsid w:val="00F94FEE"/>
    <w:rsid w:val="00FA4CC5"/>
    <w:rsid w:val="00FB6E5E"/>
    <w:rsid w:val="00FC0C8E"/>
    <w:rsid w:val="00FC6344"/>
    <w:rsid w:val="00FD23AE"/>
    <w:rsid w:val="00FE5F68"/>
    <w:rsid w:val="00FF4362"/>
    <w:rsid w:val="00FF549D"/>
    <w:rsid w:val="00FF5671"/>
    <w:rsid w:val="00FF6E4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20377"/>
  <w15:chartTrackingRefBased/>
  <w15:docId w15:val="{89EC5A90-FF25-4B3E-995A-1F164B9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D3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E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BE4"/>
  </w:style>
  <w:style w:type="paragraph" w:styleId="Podnoje">
    <w:name w:val="footer"/>
    <w:basedOn w:val="Normal"/>
    <w:link w:val="PodnojeChar"/>
    <w:uiPriority w:val="99"/>
    <w:unhideWhenUsed/>
    <w:rsid w:val="004E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BE4"/>
  </w:style>
  <w:style w:type="table" w:styleId="Reetkatablice">
    <w:name w:val="Table Grid"/>
    <w:basedOn w:val="Obinatablica"/>
    <w:uiPriority w:val="39"/>
    <w:rsid w:val="002D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3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14</Pages>
  <Words>4134</Words>
  <Characters>23569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Senfner</dc:creator>
  <cp:keywords/>
  <dc:description/>
  <cp:lastModifiedBy>Josipa Karača</cp:lastModifiedBy>
  <cp:revision>532</cp:revision>
  <cp:lastPrinted>2021-05-18T10:14:00Z</cp:lastPrinted>
  <dcterms:created xsi:type="dcterms:W3CDTF">2021-04-09T09:48:00Z</dcterms:created>
  <dcterms:modified xsi:type="dcterms:W3CDTF">2021-06-01T07:00:00Z</dcterms:modified>
</cp:coreProperties>
</file>